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BEBEBE" w:themeFill="background1" w:themeFillShade="BF"/>
        <w:spacing w:before="170" w:after="170" w:line="276" w:lineRule="auto"/>
        <w:jc w:val="center"/>
        <w:rPr>
          <w:rFonts w:cs="Arial" w:asciiTheme="minorHAnsi" w:hAnsiTheme="minorHAnsi"/>
          <w:b/>
          <w:bCs/>
          <w:i/>
          <w:iCs/>
          <w:color w:val="FFFFFF" w:themeColor="background1"/>
          <w:sz w:val="22"/>
          <w:szCs w:val="22"/>
          <w14:textFill>
            <w14:solidFill>
              <w14:schemeClr w14:val="bg1"/>
            </w14:solidFill>
          </w14:textFill>
        </w:rPr>
      </w:pPr>
      <w:bookmarkStart w:id="0" w:name="_GoBack"/>
      <w:bookmarkEnd w:id="0"/>
      <w:r>
        <w:rPr>
          <w:rFonts w:cs="Arial" w:asciiTheme="minorHAnsi" w:hAnsiTheme="minorHAnsi"/>
          <w:b/>
          <w:bCs/>
          <w:i/>
          <w:iCs/>
          <w:color w:val="FFFFFF" w:themeColor="background1"/>
          <w:sz w:val="22"/>
          <w:szCs w:val="22"/>
          <w14:textFill>
            <w14:solidFill>
              <w14:schemeClr w14:val="bg1"/>
            </w14:solidFill>
          </w14:textFill>
        </w:rPr>
        <w:t>PLANTILLA Resumen del Estudio Memoria Económica IV</w:t>
      </w:r>
    </w:p>
    <w:p>
      <w:pPr>
        <w:spacing w:before="170" w:after="170" w:line="276" w:lineRule="auto"/>
        <w:jc w:val="right"/>
        <w:rPr>
          <w:rFonts w:cs="Arial" w:asciiTheme="minorHAnsi" w:hAnsiTheme="minorHAnsi"/>
          <w:i/>
          <w:iCs/>
          <w:color w:val="99CB38"/>
          <w:sz w:val="20"/>
          <w:szCs w:val="20"/>
        </w:rPr>
      </w:pPr>
      <w:r>
        <w:rPr>
          <w:rFonts w:cs="Arial" w:asciiTheme="minorHAnsi" w:hAnsiTheme="minorHAnsi"/>
          <w:i/>
          <w:iCs/>
          <w:color w:val="99CB38"/>
          <w:sz w:val="20"/>
          <w:szCs w:val="20"/>
        </w:rPr>
        <w:t xml:space="preserve">Expediente n.º: </w:t>
      </w:r>
    </w:p>
    <w:tbl>
      <w:tblPr>
        <w:tblStyle w:val="8"/>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24" w:space="0"/>
        </w:tblBorders>
        <w:tblLayout w:type="autofit"/>
        <w:tblCellMar>
          <w:top w:w="0" w:type="dxa"/>
          <w:left w:w="108" w:type="dxa"/>
          <w:bottom w:w="0" w:type="dxa"/>
          <w:right w:w="108" w:type="dxa"/>
        </w:tblCellMar>
      </w:tblPr>
      <w:tblGrid>
        <w:gridCol w:w="279"/>
        <w:gridCol w:w="82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24" w:space="0"/>
          </w:tblBorders>
          <w:tblCellMar>
            <w:top w:w="0" w:type="dxa"/>
            <w:left w:w="108" w:type="dxa"/>
            <w:bottom w:w="0" w:type="dxa"/>
            <w:right w:w="108" w:type="dxa"/>
          </w:tblCellMar>
        </w:tblPrEx>
        <w:tc>
          <w:tcPr>
            <w:tcW w:w="279" w:type="dxa"/>
            <w:shd w:val="clear" w:color="auto" w:fill="385623" w:themeFill="accent6" w:themeFillShade="80"/>
          </w:tcPr>
          <w:p>
            <w:pPr>
              <w:spacing w:before="170" w:after="170" w:line="276" w:lineRule="auto"/>
              <w:jc w:val="center"/>
              <w:rPr>
                <w:rFonts w:cs="Arial" w:asciiTheme="minorHAnsi" w:hAnsiTheme="minorHAnsi"/>
                <w:color w:val="FFFFFF" w:themeColor="background1"/>
                <w14:textFill>
                  <w14:solidFill>
                    <w14:schemeClr w14:val="bg1"/>
                  </w14:solidFill>
                </w14:textFill>
              </w:rPr>
            </w:pPr>
          </w:p>
        </w:tc>
        <w:tc>
          <w:tcPr>
            <w:tcW w:w="8215" w:type="dxa"/>
            <w:shd w:val="clear" w:color="auto" w:fill="8FB638"/>
          </w:tcPr>
          <w:p>
            <w:pPr>
              <w:spacing w:before="170" w:after="170" w:line="276" w:lineRule="auto"/>
              <w:jc w:val="center"/>
              <w:rPr>
                <w:rFonts w:cs="Arial" w:asciiTheme="minorHAnsi" w:hAnsiTheme="minorHAnsi"/>
                <w:color w:val="FFFFFF" w:themeColor="background1"/>
                <w14:textFill>
                  <w14:solidFill>
                    <w14:schemeClr w14:val="bg1"/>
                  </w14:solidFill>
                </w14:textFill>
              </w:rPr>
            </w:pPr>
            <w:r>
              <w:rPr>
                <w:rFonts w:cs="Arial" w:asciiTheme="minorHAnsi" w:hAnsiTheme="minorHAnsi"/>
                <w:color w:val="FFFFFF" w:themeColor="background1"/>
                <w14:textFill>
                  <w14:solidFill>
                    <w14:schemeClr w14:val="bg1"/>
                  </w14:solidFill>
                </w14:textFill>
              </w:rPr>
              <w:t xml:space="preserve">INFORME SOBRE EL ESTABLECIMIENTO DEL PRESUPUESTO BASE DE LICITACIÓN Y VALOR ESTIMADO DEL CONTRATO PARA EL SERVICIO DE CONSERVACIÓN Y MANTENIMIENTO DE LA INFRAESTRUCTURA VERDE DEL </w:t>
            </w:r>
            <w:r>
              <w:rPr>
                <w:rFonts w:cs="Arial" w:asciiTheme="minorHAnsi" w:hAnsiTheme="minorHAnsi"/>
                <w:color w:val="FFFFFF" w:themeColor="background1"/>
                <w:highlight w:val="lightGray"/>
                <w14:textFill>
                  <w14:solidFill>
                    <w14:schemeClr w14:val="bg1"/>
                  </w14:solidFill>
                </w14:textFill>
              </w:rPr>
              <w:t>AYUNTAMIENTO DE</w:t>
            </w:r>
          </w:p>
        </w:tc>
      </w:tr>
    </w:tbl>
    <w:p>
      <w:pPr>
        <w:spacing w:before="170" w:line="276" w:lineRule="auto"/>
        <w:jc w:val="both"/>
        <w:rPr>
          <w:rFonts w:cs="Arial" w:asciiTheme="minorHAnsi" w:hAnsiTheme="minorHAnsi"/>
        </w:rPr>
      </w:pPr>
    </w:p>
    <w:p>
      <w:pPr>
        <w:pStyle w:val="2"/>
      </w:pPr>
      <w:r>
        <w:t xml:space="preserve"> A. Introducción</w:t>
      </w:r>
    </w:p>
    <w:p>
      <w:pPr>
        <w:spacing w:before="170" w:after="170" w:line="276" w:lineRule="auto"/>
        <w:jc w:val="both"/>
        <w:rPr>
          <w:rFonts w:asciiTheme="minorHAnsi" w:hAnsiTheme="minorHAnsi"/>
          <w:sz w:val="22"/>
          <w:szCs w:val="22"/>
        </w:rPr>
      </w:pPr>
      <w:r>
        <w:rPr>
          <w:rFonts w:cs="Arial" w:asciiTheme="minorHAnsi" w:hAnsiTheme="minorHAnsi"/>
          <w:sz w:val="22"/>
          <w:szCs w:val="22"/>
        </w:rPr>
        <w:t xml:space="preserve">El presente Informe analiza y resume los criterios utilizados por el </w:t>
      </w:r>
      <w:r>
        <w:rPr>
          <w:rFonts w:cs="Arial" w:asciiTheme="minorHAnsi" w:hAnsiTheme="minorHAnsi"/>
          <w:b/>
          <w:sz w:val="22"/>
          <w:szCs w:val="22"/>
        </w:rPr>
        <w:t xml:space="preserve">Servicio de </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(Infraestructura Verde)</w:t>
      </w:r>
      <w:r>
        <w:rPr>
          <w:rFonts w:cs="Arial" w:asciiTheme="minorHAnsi" w:hAnsiTheme="minorHAnsi"/>
          <w:sz w:val="22"/>
          <w:szCs w:val="22"/>
        </w:rPr>
        <w:t xml:space="preserve"> para la determinación del </w:t>
      </w:r>
      <w:r>
        <w:rPr>
          <w:rFonts w:cs="Arial" w:asciiTheme="minorHAnsi" w:hAnsiTheme="minorHAnsi"/>
          <w:bCs/>
          <w:sz w:val="22"/>
          <w:szCs w:val="22"/>
        </w:rPr>
        <w:t>presupuesto base de licitación y valor estimado del contrato</w:t>
      </w:r>
      <w:r>
        <w:rPr>
          <w:rFonts w:cs="Arial" w:asciiTheme="minorHAnsi" w:hAnsiTheme="minorHAnsi"/>
          <w:sz w:val="22"/>
          <w:szCs w:val="22"/>
        </w:rPr>
        <w:t xml:space="preserve"> del concurso para el </w:t>
      </w:r>
      <w:r>
        <w:rPr>
          <w:rFonts w:cs="Arial" w:asciiTheme="minorHAnsi" w:hAnsiTheme="minorHAnsi"/>
          <w:bCs/>
          <w:iCs/>
          <w:sz w:val="22"/>
          <w:szCs w:val="22"/>
        </w:rPr>
        <w:t xml:space="preserve">SERVICIO DE CONSERVACIÓN Y MANTENIMIENTO DE LA INFRAESTRUCTURA VERDE DEL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AYUNTAMIENTO DE</w:t>
      </w:r>
      <w:r>
        <w:rPr>
          <w:rFonts w:cs="Arial" w:asciiTheme="minorHAnsi" w:hAnsiTheme="minorHAnsi"/>
          <w:b/>
          <w:bCs/>
          <w:iCs/>
          <w:sz w:val="22"/>
          <w:szCs w:val="22"/>
        </w:rPr>
        <w:t xml:space="preserve"> …</w:t>
      </w:r>
      <w:r>
        <w:rPr>
          <w:rFonts w:cs="Arial" w:asciiTheme="minorHAnsi" w:hAnsiTheme="minorHAnsi"/>
          <w:sz w:val="22"/>
          <w:szCs w:val="22"/>
        </w:rPr>
        <w:t>. Se pretende poner en marcha un nuevo contrato que acredite los recursos económicos, técnicos y humanos necesarios, siguiendo un modelo de gestión acorde con unas técnicas de máximo respeto al medio ambiente urbano.</w:t>
      </w:r>
    </w:p>
    <w:p>
      <w:pPr>
        <w:spacing w:before="170" w:after="170" w:line="276" w:lineRule="auto"/>
        <w:jc w:val="both"/>
        <w:rPr>
          <w:rFonts w:cs="Arial" w:asciiTheme="minorHAnsi" w:hAnsiTheme="minorHAnsi"/>
          <w:sz w:val="22"/>
          <w:szCs w:val="22"/>
        </w:rPr>
      </w:pPr>
      <w:r>
        <w:rPr>
          <w:rFonts w:cs="Arial" w:asciiTheme="minorHAnsi" w:hAnsiTheme="minorHAnsi"/>
          <w:sz w:val="22"/>
          <w:szCs w:val="22"/>
        </w:rPr>
        <w:t xml:space="preserve">Para la elaboración de esta Memoria Económica se han recogido todas las prestaciones referidas en el Pliego de Prescripciones Técnicas, relativas a la conservación de los elementos vegetales existentes en las zonas verdes objeto del contrato, y otras prestaciones referidas a la conservación de otros elementos no vegetales que forman parte de dichas zonas verdes. </w:t>
      </w:r>
    </w:p>
    <w:p>
      <w:pPr>
        <w:spacing w:before="170" w:after="170" w:line="276" w:lineRule="auto"/>
        <w:jc w:val="both"/>
        <w:rPr>
          <w:rFonts w:cs="Arial" w:asciiTheme="minorHAnsi" w:hAnsiTheme="minorHAnsi"/>
          <w:sz w:val="22"/>
          <w:szCs w:val="22"/>
        </w:rPr>
      </w:pPr>
      <w:r>
        <w:rPr>
          <w:rFonts w:cs="Arial" w:asciiTheme="minorHAnsi" w:hAnsiTheme="minorHAnsi"/>
          <w:sz w:val="22"/>
          <w:szCs w:val="22"/>
        </w:rPr>
        <w:t xml:space="preserve">Asimismo, se incluye como labores a realizar la limpieza de estas zonas, los trabajos de conservación, reparación o modificación de los elementos hidráulicos, mecánicos o eléctricos de las redes de riego de las zonas verdes y los trabajos técnicos de cartografía, inventario y gestión de la información necesarios, así como cualquier otro tipo de labor pertinente para la conservación. </w:t>
      </w:r>
    </w:p>
    <w:p>
      <w:pPr>
        <w:spacing w:before="170" w:after="170" w:line="276" w:lineRule="auto"/>
        <w:jc w:val="both"/>
        <w:rPr>
          <w:rFonts w:cs="Arial" w:asciiTheme="minorHAnsi" w:hAnsiTheme="minorHAnsi"/>
          <w:sz w:val="22"/>
          <w:szCs w:val="22"/>
        </w:rPr>
      </w:pPr>
      <w:r>
        <w:rPr>
          <w:rFonts w:cs="Arial" w:asciiTheme="minorHAnsi" w:hAnsiTheme="minorHAnsi"/>
          <w:sz w:val="22"/>
          <w:szCs w:val="22"/>
        </w:rPr>
        <w:t>En base al alcance de los trabajos y a los inventarios disponibles de las áreas sobre las que actuar y el conocimiento de los elementos dentro de cada una de ellas, se ha dimensionado el servicio necesario y adecuado para poder llevar a cabo el Servicio de Conservación y Mantenimiento en las mejores condiciones posibles.</w:t>
      </w:r>
    </w:p>
    <w:p>
      <w:pPr>
        <w:spacing w:before="170" w:after="170" w:line="276" w:lineRule="auto"/>
        <w:jc w:val="both"/>
        <w:rPr>
          <w:rFonts w:asciiTheme="minorHAnsi" w:hAnsiTheme="minorHAnsi"/>
          <w:sz w:val="22"/>
          <w:szCs w:val="22"/>
        </w:rPr>
      </w:pPr>
      <w:r>
        <w:rPr>
          <w:rFonts w:cs="Arial" w:asciiTheme="minorHAnsi" w:hAnsiTheme="minorHAnsi"/>
          <w:sz w:val="22"/>
          <w:szCs w:val="22"/>
        </w:rPr>
        <w:t xml:space="preserve">La valoración económica se ha realizado </w:t>
      </w:r>
      <w:r>
        <w:rPr>
          <w:rFonts w:cs="Arial" w:asciiTheme="minorHAnsi" w:hAnsiTheme="minorHAnsi"/>
          <w:bCs/>
          <w:sz w:val="22"/>
          <w:szCs w:val="22"/>
        </w:rPr>
        <w:t>teniendo en cuenta los requerimientos del Pliego de Prescripciones Técnicas.</w:t>
      </w:r>
      <w:r>
        <w:rPr>
          <w:rFonts w:cs="Arial" w:asciiTheme="minorHAnsi" w:hAnsiTheme="minorHAnsi"/>
          <w:b/>
          <w:bCs/>
          <w:sz w:val="22"/>
          <w:szCs w:val="22"/>
        </w:rPr>
        <w:t xml:space="preserve"> </w:t>
      </w:r>
      <w:r>
        <w:rPr>
          <w:rFonts w:cs="Arial" w:asciiTheme="minorHAnsi" w:hAnsiTheme="minorHAnsi"/>
          <w:sz w:val="22"/>
          <w:szCs w:val="22"/>
        </w:rPr>
        <w:t xml:space="preserve">En base al alcance de los trabajos y a los inventarios disponibles de las áreas sobre las que actuar y el conocimiento de los elementos dentro de cada una de ellas, se ha dimensionado un servicio para poder elaborar las magnitudes económicas del concurso. Es importante señalar que </w:t>
      </w:r>
      <w:r>
        <w:rPr>
          <w:rFonts w:cs="Arial" w:asciiTheme="minorHAnsi" w:hAnsiTheme="minorHAnsi"/>
          <w:bCs/>
          <w:sz w:val="22"/>
          <w:szCs w:val="22"/>
        </w:rPr>
        <w:t xml:space="preserve">esta valoración económica es orientativa para poder fijar el presupuesto de partida de dicha licitación, </w:t>
      </w:r>
      <w:r>
        <w:rPr>
          <w:rFonts w:cs="Arial" w:asciiTheme="minorHAnsi" w:hAnsiTheme="minorHAnsi"/>
          <w:sz w:val="22"/>
          <w:szCs w:val="22"/>
        </w:rPr>
        <w:t xml:space="preserve">según los criterios establecidos en los artículos 100 y 101 de la Ley 9/2017 de Contratos del Sector público. </w:t>
      </w:r>
    </w:p>
    <w:p>
      <w:pPr>
        <w:suppressAutoHyphens w:val="0"/>
        <w:rPr>
          <w:rFonts w:cs="Arial" w:asciiTheme="minorHAnsi" w:hAnsiTheme="minorHAnsi"/>
          <w:sz w:val="22"/>
          <w:szCs w:val="22"/>
        </w:rPr>
      </w:pPr>
      <w:r>
        <w:rPr>
          <w:rFonts w:cs="Arial" w:asciiTheme="minorHAnsi" w:hAnsiTheme="minorHAnsi"/>
          <w:sz w:val="22"/>
          <w:szCs w:val="22"/>
        </w:rPr>
        <w:br w:type="page"/>
      </w:r>
    </w:p>
    <w:p>
      <w:pPr>
        <w:pStyle w:val="2"/>
      </w:pPr>
      <w:r>
        <w:t xml:space="preserve">B. Criterios utilizados para la estimación de las magnitudes   </w:t>
      </w:r>
      <w:r>
        <w:br w:type="textWrapping"/>
      </w:r>
      <w:r>
        <w:t xml:space="preserve">     económicas del contrato</w:t>
      </w:r>
    </w:p>
    <w:p>
      <w:pPr>
        <w:spacing w:before="170" w:after="170" w:line="276" w:lineRule="auto"/>
        <w:jc w:val="both"/>
        <w:rPr>
          <w:rFonts w:asciiTheme="minorHAnsi" w:hAnsiTheme="minorHAnsi"/>
          <w:sz w:val="22"/>
          <w:szCs w:val="22"/>
        </w:rPr>
      </w:pPr>
      <w:r>
        <w:rPr>
          <w:rFonts w:cs="Arial" w:asciiTheme="minorHAnsi" w:hAnsiTheme="minorHAnsi"/>
          <w:sz w:val="22"/>
          <w:szCs w:val="22"/>
        </w:rPr>
        <w:t>La valoración económica del contrato se ha realizado conforme a lo regulado en los Pliegos de Prescripciones Técnicas y Administrativas. En su elaboración se han tenido en cuenta los siguientes criterios:</w:t>
      </w:r>
    </w:p>
    <w:p>
      <w:pPr>
        <w:pStyle w:val="14"/>
      </w:pPr>
      <w:r>
        <w:t xml:space="preserve">Se contemplan </w:t>
      </w:r>
      <w:r>
        <w:rPr>
          <w:highlight w:val="lightGray"/>
        </w:rPr>
        <w:t>X</w:t>
      </w:r>
      <w:r>
        <w:t xml:space="preserve"> lotes administrativos, cuyo ámbito territorial y elementos a conservar vienen definidos en el Pliego de Prescripciones Técnicas.</w:t>
      </w:r>
    </w:p>
    <w:p>
      <w:pPr>
        <w:pStyle w:val="14"/>
      </w:pPr>
      <w:r>
        <w:t xml:space="preserve">El plazo de ejecución de los trabajos descritos en el Pliego de Prescripciones Técnicas será de </w:t>
      </w:r>
      <w:r>
        <w:rPr>
          <w:highlight w:val="lightGray"/>
        </w:rPr>
        <w:t>X</w:t>
      </w:r>
      <w:r>
        <w:t xml:space="preserve"> años en total, más </w:t>
      </w:r>
      <w:r>
        <w:rPr>
          <w:highlight w:val="lightGray"/>
        </w:rPr>
        <w:t>X</w:t>
      </w:r>
      <w:r>
        <w:t xml:space="preserve"> años de prórroga.</w:t>
      </w:r>
    </w:p>
    <w:p>
      <w:pPr>
        <w:pStyle w:val="14"/>
      </w:pPr>
      <w:r>
        <w:t>El IVA aplicado ha sido del 21% para las labores de conservación y el 10% para las labores de limpieza de las zonas verdes.</w:t>
      </w:r>
    </w:p>
    <w:p>
      <w:pPr>
        <w:pStyle w:val="14"/>
      </w:pPr>
      <w:r>
        <w:t>Para la determinación del presupuesto, el servicio gestor ha realizado un análisis del inventario detallado de las zonas verdes, clasificando éstas en tipologías de conservación según sea su carga de trabajo y el estado actual de las mismas.</w:t>
      </w:r>
    </w:p>
    <w:p>
      <w:pPr>
        <w:pStyle w:val="14"/>
      </w:pPr>
      <w:r>
        <w:t>El Servicio ha calculado las cargas de trabajo de cada uno de los Lotes aplicando, a cada una de las Tipologías de Conservación previamente definidas, el número de trabajadores necesarios para la conservación y el mantenimiento de todos los elementos incluidos en esa tipología, todo ello de acuerdo a indicadores técnicos consolidados en el sector (unidad técnica operario/a).</w:t>
      </w:r>
    </w:p>
    <w:p>
      <w:pPr>
        <w:pStyle w:val="14"/>
      </w:pPr>
      <w:r>
        <w:t>Para el cálculo de los costes de personal se ha tenido en cuenta:</w:t>
      </w:r>
    </w:p>
    <w:p>
      <w:pPr>
        <w:pStyle w:val="15"/>
        <w:numPr>
          <w:ilvl w:val="1"/>
          <w:numId w:val="5"/>
        </w:numPr>
      </w:pPr>
      <w:r>
        <w:t xml:space="preserve">Necesidades de la </w:t>
      </w:r>
      <w:r>
        <w:rPr>
          <w:bCs/>
        </w:rPr>
        <w:t>plantilla.</w:t>
      </w:r>
    </w:p>
    <w:p>
      <w:pPr>
        <w:pStyle w:val="15"/>
        <w:numPr>
          <w:ilvl w:val="1"/>
          <w:numId w:val="5"/>
        </w:numPr>
      </w:pPr>
      <w:r>
        <w:rPr>
          <w:bCs/>
        </w:rPr>
        <w:t>Listado de subrogación</w:t>
      </w:r>
      <w:r>
        <w:rPr>
          <w:b/>
          <w:bCs/>
        </w:rPr>
        <w:t xml:space="preserve"> </w:t>
      </w:r>
      <w:r>
        <w:t xml:space="preserve">facilitado a fecha </w:t>
      </w:r>
      <w:r>
        <w:rPr>
          <w:rFonts w:eastAsiaTheme="minorHAnsi"/>
          <w:color w:val="000000" w:themeColor="text1"/>
          <w:highlight w:val="lightGray"/>
          <w:lang w:eastAsia="en-US"/>
          <w14:textFill>
            <w14:solidFill>
              <w14:schemeClr w14:val="tx1"/>
            </w14:solidFill>
          </w14:textFill>
        </w:rPr>
        <w:t>XX/XX/20XX</w:t>
      </w:r>
      <w:r>
        <w:t>.</w:t>
      </w:r>
    </w:p>
    <w:p>
      <w:pPr>
        <w:pStyle w:val="15"/>
        <w:numPr>
          <w:ilvl w:val="1"/>
          <w:numId w:val="5"/>
        </w:numPr>
      </w:pPr>
      <w:r>
        <w:rPr>
          <w:bCs/>
        </w:rPr>
        <w:t>Convenio General de aplicación</w:t>
      </w:r>
      <w:r>
        <w:t>.</w:t>
      </w:r>
    </w:p>
    <w:p>
      <w:pPr>
        <w:pStyle w:val="15"/>
        <w:numPr>
          <w:ilvl w:val="1"/>
          <w:numId w:val="5"/>
        </w:numPr>
        <w:rPr>
          <w:bCs/>
        </w:rPr>
      </w:pPr>
      <w:r>
        <w:rPr>
          <w:bCs/>
        </w:rPr>
        <w:t xml:space="preserve">Convenio particular de aplicación. </w:t>
      </w:r>
    </w:p>
    <w:p>
      <w:pPr>
        <w:pStyle w:val="15"/>
        <w:numPr>
          <w:ilvl w:val="1"/>
          <w:numId w:val="5"/>
        </w:numPr>
      </w:pPr>
      <w:r>
        <w:t xml:space="preserve">Costes para la empresa contratista del </w:t>
      </w:r>
      <w:r>
        <w:rPr>
          <w:bCs/>
        </w:rPr>
        <w:t>absentismo</w:t>
      </w:r>
      <w:r>
        <w:rPr>
          <w:b/>
          <w:bCs/>
        </w:rPr>
        <w:t xml:space="preserve"> </w:t>
      </w:r>
      <w:r>
        <w:t>previsto.</w:t>
      </w:r>
    </w:p>
    <w:p>
      <w:pPr>
        <w:pStyle w:val="15"/>
        <w:numPr>
          <w:ilvl w:val="1"/>
          <w:numId w:val="5"/>
        </w:numPr>
      </w:pPr>
      <w:r>
        <w:t xml:space="preserve">Sustitución de trabajadores del </w:t>
      </w:r>
      <w:r>
        <w:rPr>
          <w:rFonts w:eastAsiaTheme="minorHAnsi"/>
          <w:color w:val="000000" w:themeColor="text1"/>
          <w:highlight w:val="lightGray"/>
          <w:lang w:eastAsia="en-US"/>
          <w14:textFill>
            <w14:solidFill>
              <w14:schemeClr w14:val="tx1"/>
            </w14:solidFill>
          </w14:textFill>
        </w:rPr>
        <w:t>XX %</w:t>
      </w:r>
      <w:r>
        <w:rPr>
          <w:bCs/>
        </w:rPr>
        <w:t xml:space="preserve"> por vacaciones.</w:t>
      </w:r>
    </w:p>
    <w:p>
      <w:pPr>
        <w:pStyle w:val="15"/>
        <w:numPr>
          <w:ilvl w:val="1"/>
          <w:numId w:val="5"/>
        </w:numPr>
      </w:pPr>
      <w:r>
        <w:t xml:space="preserve">El coste de la Seguridad Social se ha calculado en </w:t>
      </w:r>
      <w:r>
        <w:rPr>
          <w:bCs/>
        </w:rPr>
        <w:t>función de la categoría profesional</w:t>
      </w:r>
      <w:r>
        <w:t xml:space="preserve"> y tipo de contrato. </w:t>
      </w:r>
    </w:p>
    <w:p>
      <w:pPr>
        <w:pStyle w:val="14"/>
      </w:pPr>
      <w:r>
        <w:t xml:space="preserve">El coste de vehículos, material móvil y maquinaria de nueva adquisición se ha fijado de acuerdo a los </w:t>
      </w:r>
      <w:r>
        <w:rPr>
          <w:bCs/>
        </w:rPr>
        <w:t>precios reales de mercado.</w:t>
      </w:r>
    </w:p>
    <w:p>
      <w:pPr>
        <w:pStyle w:val="14"/>
      </w:pPr>
      <w:r>
        <w:t xml:space="preserve">Para el cálculo de la amortización se ha fijado una vida útil de </w:t>
      </w:r>
      <w:r>
        <w:rPr>
          <w:rFonts w:eastAsiaTheme="minorHAnsi"/>
          <w:color w:val="000000" w:themeColor="text1"/>
          <w:highlight w:val="lightGray"/>
          <w:lang w:eastAsia="en-US"/>
          <w14:textFill>
            <w14:solidFill>
              <w14:schemeClr w14:val="tx1"/>
            </w14:solidFill>
          </w14:textFill>
        </w:rPr>
        <w:t>X</w:t>
      </w:r>
      <w:r>
        <w:rPr>
          <w:bCs/>
        </w:rPr>
        <w:t xml:space="preserve"> años para maquinaria y vehículos pequeños, y </w:t>
      </w:r>
      <w:r>
        <w:rPr>
          <w:rFonts w:eastAsiaTheme="minorHAnsi"/>
          <w:color w:val="000000" w:themeColor="text1"/>
          <w:highlight w:val="lightGray"/>
          <w:lang w:eastAsia="en-US"/>
          <w14:textFill>
            <w14:solidFill>
              <w14:schemeClr w14:val="tx1"/>
            </w14:solidFill>
          </w14:textFill>
        </w:rPr>
        <w:t>X</w:t>
      </w:r>
      <w:r>
        <w:rPr>
          <w:bCs/>
        </w:rPr>
        <w:t xml:space="preserve"> años para material móvil</w:t>
      </w:r>
      <w:r>
        <w:t xml:space="preserve"> y vehículos grandes.</w:t>
      </w:r>
    </w:p>
    <w:p>
      <w:pPr>
        <w:pStyle w:val="14"/>
      </w:pPr>
      <w:r>
        <w:t>La financiación de la inversión ha sido calculada con un tipo de interés del</w:t>
      </w:r>
      <w:r>
        <w:rPr>
          <w:b/>
          <w:bCs/>
        </w:rPr>
        <w:t xml:space="preserve"> </w:t>
      </w:r>
      <w:r>
        <w:rPr>
          <w:rFonts w:eastAsiaTheme="minorHAnsi"/>
          <w:color w:val="000000" w:themeColor="text1"/>
          <w:highlight w:val="lightGray"/>
          <w:lang w:eastAsia="en-US"/>
          <w14:textFill>
            <w14:solidFill>
              <w14:schemeClr w14:val="tx1"/>
            </w14:solidFill>
          </w14:textFill>
        </w:rPr>
        <w:t>X %</w:t>
      </w:r>
      <w:r>
        <w:t>.</w:t>
      </w:r>
    </w:p>
    <w:p>
      <w:pPr>
        <w:pStyle w:val="14"/>
      </w:pPr>
      <w:r>
        <w:t xml:space="preserve"> El resto de costes (vestuario, pequeña herramienta, alquileres, materiales de conservación, etc.) han sido calculados según </w:t>
      </w:r>
      <w:r>
        <w:rPr>
          <w:bCs/>
        </w:rPr>
        <w:t xml:space="preserve">precios unitarios de mercado. Los consumos anuales previstos se han calculado </w:t>
      </w:r>
      <w:r>
        <w:t>en base a la experiencia de ejercicios anteriores.</w:t>
      </w:r>
    </w:p>
    <w:p>
      <w:pPr>
        <w:pStyle w:val="14"/>
      </w:pPr>
      <w:r>
        <w:t xml:space="preserve"> El porcentaje aplicado al coste de ejecución material por el concepto de </w:t>
      </w:r>
      <w:r>
        <w:rPr>
          <w:bCs/>
        </w:rPr>
        <w:t xml:space="preserve">Gastos Generales y Beneficio Industrial </w:t>
      </w:r>
      <w:r>
        <w:t>es del</w:t>
      </w:r>
      <w:r>
        <w:rPr>
          <w:bCs/>
        </w:rPr>
        <w:t xml:space="preserve"> </w:t>
      </w:r>
      <w:r>
        <w:rPr>
          <w:rFonts w:eastAsiaTheme="minorHAnsi"/>
          <w:color w:val="000000" w:themeColor="text1"/>
          <w:highlight w:val="lightGray"/>
          <w:lang w:eastAsia="en-US"/>
          <w14:textFill>
            <w14:solidFill>
              <w14:schemeClr w14:val="tx1"/>
            </w14:solidFill>
          </w14:textFill>
        </w:rPr>
        <w:t>X %</w:t>
      </w:r>
      <w:r>
        <w:t xml:space="preserve"> sobre el presupuesto de ejecución material.</w:t>
      </w:r>
    </w:p>
    <w:p>
      <w:pPr>
        <w:pStyle w:val="14"/>
      </w:pPr>
      <w:r>
        <w:t xml:space="preserve"> Para la configuración del Presupuesto Base de Licitación se ha tenido en cuenta, además de los trabajos fijos de conservación y mantenimiento, los denominados </w:t>
      </w:r>
      <w:r>
        <w:rPr>
          <w:bCs/>
        </w:rPr>
        <w:t>trabajos por medición/suministros</w:t>
      </w:r>
      <w:r>
        <w:t xml:space="preserve"> (en ocasiones denominados también “trabajos de valoración”), en los términos y condiciones recogidos en los Pliegos de Prescripciones Técnicas.</w:t>
      </w:r>
    </w:p>
    <w:p>
      <w:pPr>
        <w:pStyle w:val="9"/>
        <w:spacing w:before="170" w:after="170" w:line="276" w:lineRule="auto"/>
        <w:ind w:left="0"/>
        <w:jc w:val="both"/>
        <w:rPr>
          <w:rFonts w:cs="Arial" w:asciiTheme="minorHAnsi" w:hAnsiTheme="minorHAnsi"/>
          <w:sz w:val="22"/>
          <w:szCs w:val="22"/>
        </w:rPr>
      </w:pPr>
    </w:p>
    <w:p>
      <w:pPr>
        <w:pStyle w:val="2"/>
      </w:pPr>
      <w:r>
        <w:t>C. Conclusiones y resultados</w:t>
      </w:r>
    </w:p>
    <w:p>
      <w:pPr>
        <w:spacing w:before="170" w:after="170" w:line="276" w:lineRule="auto"/>
        <w:ind w:left="-76"/>
        <w:jc w:val="both"/>
        <w:rPr>
          <w:rFonts w:cs="Arial" w:asciiTheme="minorHAnsi" w:hAnsiTheme="minorHAnsi"/>
          <w:b/>
          <w:color w:val="669900"/>
          <w:sz w:val="22"/>
          <w:szCs w:val="22"/>
        </w:rPr>
      </w:pPr>
    </w:p>
    <w:p>
      <w:pPr>
        <w:pStyle w:val="18"/>
      </w:pPr>
      <w:r>
        <w:t>1. Coste del primer año</w:t>
      </w:r>
    </w:p>
    <w:p>
      <w:pPr>
        <w:pStyle w:val="9"/>
        <w:spacing w:before="170" w:after="170" w:line="276" w:lineRule="auto"/>
        <w:ind w:left="0"/>
        <w:jc w:val="both"/>
        <w:rPr>
          <w:rFonts w:asciiTheme="minorHAnsi" w:hAnsiTheme="minorHAnsi"/>
          <w:sz w:val="22"/>
          <w:szCs w:val="22"/>
        </w:rPr>
      </w:pPr>
      <w:r>
        <w:rPr>
          <w:rFonts w:cs="Arial" w:asciiTheme="minorHAnsi" w:hAnsiTheme="minorHAnsi"/>
          <w:sz w:val="22"/>
          <w:szCs w:val="22"/>
        </w:rPr>
        <w:t xml:space="preserve">Con la aplicación de todos los criterios anteriores, el Estudio Económico que acompaña a los Pliegos de Prescripciones Técnicas fija el coste del primer año en </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XX,XX</w:t>
      </w:r>
      <w:r>
        <w:rPr>
          <w:rFonts w:cs="Arial" w:asciiTheme="minorHAnsi" w:hAnsiTheme="minorHAnsi"/>
          <w:b/>
          <w:bCs/>
          <w:sz w:val="22"/>
          <w:szCs w:val="22"/>
        </w:rPr>
        <w:t xml:space="preserve"> €</w:t>
      </w:r>
      <w:r>
        <w:rPr>
          <w:rFonts w:cs="Arial" w:asciiTheme="minorHAnsi" w:hAnsiTheme="minorHAnsi"/>
          <w:sz w:val="22"/>
          <w:szCs w:val="22"/>
        </w:rPr>
        <w:t xml:space="preserve">  (IVA incluido), de los que:</w:t>
      </w:r>
    </w:p>
    <w:p>
      <w:pPr>
        <w:pStyle w:val="20"/>
        <w:rPr>
          <w:b w:val="0"/>
          <w:bCs w:val="0"/>
        </w:rPr>
      </w:pPr>
      <w:r>
        <w:rPr>
          <w:highlight w:val="lightGray"/>
        </w:rPr>
        <w:t>XX,XX</w:t>
      </w:r>
      <w:r>
        <w:t xml:space="preserve"> €  </w:t>
      </w:r>
      <w:r>
        <w:rPr>
          <w:b w:val="0"/>
          <w:bCs w:val="0"/>
        </w:rPr>
        <w:t xml:space="preserve">corresponden al Lote 1 </w:t>
      </w:r>
    </w:p>
    <w:p>
      <w:pPr>
        <w:pStyle w:val="20"/>
        <w:rPr>
          <w:b w:val="0"/>
          <w:bCs w:val="0"/>
        </w:rPr>
      </w:pPr>
      <w:r>
        <w:rPr>
          <w:highlight w:val="lightGray"/>
        </w:rPr>
        <w:t xml:space="preserve">XX,XX </w:t>
      </w:r>
      <w:r>
        <w:t xml:space="preserve">€  </w:t>
      </w:r>
      <w:r>
        <w:rPr>
          <w:b w:val="0"/>
          <w:bCs w:val="0"/>
        </w:rPr>
        <w:t>corresponden al Lote 2</w:t>
      </w:r>
    </w:p>
    <w:p>
      <w:pPr>
        <w:pStyle w:val="20"/>
        <w:rPr>
          <w:b w:val="0"/>
          <w:bCs w:val="0"/>
        </w:rPr>
      </w:pPr>
      <w:r>
        <w:rPr>
          <w:b w:val="0"/>
          <w:bCs w:val="0"/>
        </w:rPr>
        <w:t xml:space="preserve">Etc. </w:t>
      </w:r>
    </w:p>
    <w:p>
      <w:pPr>
        <w:pStyle w:val="18"/>
      </w:pPr>
      <w:r>
        <w:t>2. Presupuesto Base de Licitación</w:t>
      </w:r>
    </w:p>
    <w:p>
      <w:pPr>
        <w:pStyle w:val="9"/>
        <w:spacing w:before="170" w:after="170" w:line="276" w:lineRule="auto"/>
        <w:ind w:left="0"/>
        <w:jc w:val="both"/>
        <w:rPr>
          <w:rFonts w:cs="Arial" w:asciiTheme="minorHAnsi" w:hAnsiTheme="minorHAnsi"/>
          <w:i/>
          <w:iCs/>
          <w:sz w:val="22"/>
          <w:szCs w:val="22"/>
        </w:rPr>
      </w:pPr>
      <w:r>
        <w:rPr>
          <w:rFonts w:cs="Arial" w:asciiTheme="minorHAnsi" w:hAnsiTheme="minorHAnsi"/>
          <w:sz w:val="22"/>
          <w:szCs w:val="22"/>
        </w:rPr>
        <w:t xml:space="preserve">La Ley de Contratos del Sector Público señala, en su artículo 100, que: </w:t>
      </w:r>
      <w:r>
        <w:rPr>
          <w:rFonts w:cs="Arial" w:asciiTheme="minorHAnsi" w:hAnsiTheme="minorHAnsi"/>
          <w:i/>
          <w:iCs/>
          <w:sz w:val="22"/>
          <w:szCs w:val="22"/>
        </w:rPr>
        <w:t xml:space="preserve">“por Presupuesto Base de Licitación se entenderá el límite máximo de gasto que, en virtud del contrato, puede comprometer el órgano de contratación, incluido el Impuesto sobre el Valor Añadido, salvo disposición en contrario”.  </w:t>
      </w:r>
    </w:p>
    <w:p>
      <w:pPr>
        <w:pStyle w:val="9"/>
        <w:spacing w:before="170" w:after="170" w:line="276" w:lineRule="auto"/>
        <w:ind w:left="0"/>
        <w:jc w:val="both"/>
        <w:rPr>
          <w:rFonts w:cs="Arial" w:asciiTheme="minorHAnsi" w:hAnsiTheme="minorHAnsi"/>
          <w:i/>
          <w:iCs/>
          <w:sz w:val="22"/>
          <w:szCs w:val="22"/>
        </w:rPr>
      </w:pPr>
    </w:p>
    <w:p>
      <w:pPr>
        <w:pStyle w:val="9"/>
        <w:spacing w:before="170" w:after="170" w:line="276" w:lineRule="auto"/>
        <w:ind w:left="0"/>
        <w:jc w:val="both"/>
        <w:rPr>
          <w:rFonts w:asciiTheme="minorHAnsi" w:hAnsiTheme="minorHAnsi"/>
          <w:sz w:val="22"/>
          <w:szCs w:val="22"/>
        </w:rPr>
      </w:pPr>
      <w:r>
        <w:rPr>
          <w:rFonts w:cs="Arial" w:asciiTheme="minorHAnsi" w:hAnsiTheme="minorHAnsi"/>
          <w:sz w:val="22"/>
          <w:szCs w:val="22"/>
        </w:rPr>
        <w:t xml:space="preserve">En consecuencia, el </w:t>
      </w:r>
      <w:r>
        <w:rPr>
          <w:rFonts w:cs="Arial" w:asciiTheme="minorHAnsi" w:hAnsiTheme="minorHAnsi"/>
          <w:b/>
          <w:bCs/>
          <w:sz w:val="22"/>
          <w:szCs w:val="22"/>
        </w:rPr>
        <w:t>Presupuesto Base de Licitación</w:t>
      </w:r>
      <w:r>
        <w:rPr>
          <w:rFonts w:cs="Arial" w:asciiTheme="minorHAnsi" w:hAnsiTheme="minorHAnsi"/>
          <w:sz w:val="22"/>
          <w:szCs w:val="22"/>
        </w:rPr>
        <w:t xml:space="preserve"> para los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X</w:t>
      </w:r>
      <w:r>
        <w:rPr>
          <w:rFonts w:cs="Arial" w:asciiTheme="minorHAnsi" w:hAnsiTheme="minorHAnsi"/>
          <w:sz w:val="22"/>
          <w:szCs w:val="22"/>
          <w:lang w:eastAsia="en-US"/>
        </w:rPr>
        <w:t xml:space="preserve"> </w:t>
      </w:r>
      <w:r>
        <w:rPr>
          <w:rFonts w:cs="Arial" w:asciiTheme="minorHAnsi" w:hAnsiTheme="minorHAnsi"/>
          <w:sz w:val="22"/>
          <w:szCs w:val="22"/>
        </w:rPr>
        <w:t xml:space="preserve">años del contrato asciende a </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XX,XX</w:t>
      </w:r>
      <w:r>
        <w:rPr>
          <w:rFonts w:cs="Arial" w:asciiTheme="minorHAnsi" w:hAnsiTheme="minorHAnsi"/>
          <w:b/>
          <w:bCs/>
          <w:sz w:val="22"/>
          <w:szCs w:val="22"/>
        </w:rPr>
        <w:t xml:space="preserve"> € (IVA incluido)</w:t>
      </w:r>
      <w:r>
        <w:rPr>
          <w:rFonts w:cs="Arial" w:asciiTheme="minorHAnsi" w:hAnsiTheme="minorHAnsi"/>
          <w:sz w:val="22"/>
          <w:szCs w:val="22"/>
        </w:rPr>
        <w:t xml:space="preserve"> de los cuales:</w:t>
      </w:r>
    </w:p>
    <w:p>
      <w:pPr>
        <w:pStyle w:val="9"/>
        <w:spacing w:before="170" w:after="170" w:line="276" w:lineRule="auto"/>
        <w:ind w:left="0"/>
        <w:jc w:val="both"/>
        <w:rPr>
          <w:rFonts w:asciiTheme="minorHAnsi" w:hAnsiTheme="minorHAnsi"/>
          <w:sz w:val="22"/>
          <w:szCs w:val="22"/>
        </w:rPr>
      </w:pPr>
    </w:p>
    <w:p>
      <w:pPr>
        <w:pStyle w:val="20"/>
        <w:rPr>
          <w:b w:val="0"/>
          <w:bCs w:val="0"/>
        </w:rPr>
      </w:pPr>
      <w:r>
        <w:rPr>
          <w:highlight w:val="lightGray"/>
        </w:rPr>
        <w:t>XX,XX</w:t>
      </w:r>
      <w:r>
        <w:t xml:space="preserve"> €  </w:t>
      </w:r>
      <w:r>
        <w:rPr>
          <w:b w:val="0"/>
          <w:bCs w:val="0"/>
        </w:rPr>
        <w:t xml:space="preserve">corresponden al Lote 1 </w:t>
      </w:r>
    </w:p>
    <w:p>
      <w:pPr>
        <w:pStyle w:val="20"/>
        <w:rPr>
          <w:b w:val="0"/>
          <w:bCs w:val="0"/>
        </w:rPr>
      </w:pPr>
      <w:r>
        <w:rPr>
          <w:highlight w:val="lightGray"/>
        </w:rPr>
        <w:t xml:space="preserve">XX,XX </w:t>
      </w:r>
      <w:r>
        <w:t>€</w:t>
      </w:r>
      <w:r>
        <w:rPr>
          <w:b w:val="0"/>
          <w:bCs w:val="0"/>
        </w:rPr>
        <w:t xml:space="preserve">  corresponden al Lote 2</w:t>
      </w:r>
    </w:p>
    <w:p>
      <w:pPr>
        <w:pStyle w:val="20"/>
        <w:rPr>
          <w:b w:val="0"/>
          <w:bCs w:val="0"/>
        </w:rPr>
      </w:pPr>
      <w:r>
        <w:rPr>
          <w:b w:val="0"/>
          <w:bCs w:val="0"/>
        </w:rPr>
        <w:t xml:space="preserve">Etc. </w:t>
      </w:r>
    </w:p>
    <w:p>
      <w:pPr>
        <w:pStyle w:val="20"/>
        <w:numPr>
          <w:ilvl w:val="0"/>
          <w:numId w:val="0"/>
        </w:numPr>
        <w:ind w:left="720"/>
        <w:rPr>
          <w:b w:val="0"/>
          <w:bCs w:val="0"/>
        </w:rPr>
      </w:pPr>
    </w:p>
    <w:p>
      <w:pPr>
        <w:suppressAutoHyphens w:val="0"/>
        <w:rPr>
          <w:rFonts w:cs="Arial" w:asciiTheme="minorHAnsi" w:hAnsiTheme="minorHAnsi"/>
          <w:b/>
          <w:color w:val="669900"/>
          <w:sz w:val="22"/>
          <w:szCs w:val="22"/>
        </w:rPr>
      </w:pPr>
      <w:r>
        <w:br w:type="page"/>
      </w:r>
    </w:p>
    <w:p>
      <w:pPr>
        <w:pStyle w:val="18"/>
      </w:pPr>
      <w:r>
        <w:t>3. Valor Estimado del Contrato</w:t>
      </w:r>
    </w:p>
    <w:p>
      <w:pPr>
        <w:pStyle w:val="9"/>
        <w:spacing w:before="170" w:after="170" w:line="276" w:lineRule="auto"/>
        <w:ind w:left="0"/>
        <w:jc w:val="both"/>
        <w:rPr>
          <w:rFonts w:asciiTheme="minorHAnsi" w:hAnsiTheme="minorHAnsi"/>
          <w:sz w:val="22"/>
          <w:szCs w:val="22"/>
        </w:rPr>
      </w:pPr>
    </w:p>
    <w:p>
      <w:pPr>
        <w:pStyle w:val="9"/>
        <w:spacing w:before="170" w:after="170" w:line="276" w:lineRule="auto"/>
        <w:ind w:left="0"/>
        <w:jc w:val="both"/>
        <w:rPr>
          <w:rFonts w:asciiTheme="minorHAnsi" w:hAnsiTheme="minorHAnsi"/>
          <w:sz w:val="22"/>
          <w:szCs w:val="22"/>
        </w:rPr>
      </w:pPr>
      <w:r>
        <w:rPr>
          <w:rFonts w:cs="Arial" w:asciiTheme="minorHAnsi" w:hAnsiTheme="minorHAnsi"/>
          <w:sz w:val="22"/>
          <w:szCs w:val="22"/>
        </w:rPr>
        <w:t>A los efectos de lo establecido en el artículo 101.b) de la Ley de Contratos del Sector Público, el Valor Estimado del Contrato responde al:</w:t>
      </w:r>
      <w:r>
        <w:rPr>
          <w:rFonts w:cs="Arial" w:asciiTheme="minorHAnsi" w:hAnsiTheme="minorHAnsi"/>
          <w:i/>
          <w:iCs/>
          <w:sz w:val="22"/>
          <w:szCs w:val="22"/>
        </w:rPr>
        <w:t xml:space="preserve"> “importe total, sin incluir el Impuesto sobre el Valor Añadido, … en el que deberán tenerse en cuenta cualquier opción eventual y las eventuales prórrogas del contrato...”</w:t>
      </w:r>
      <w:r>
        <w:rPr>
          <w:rFonts w:cs="Arial" w:asciiTheme="minorHAnsi" w:hAnsiTheme="minorHAnsi"/>
          <w:sz w:val="22"/>
          <w:szCs w:val="22"/>
        </w:rPr>
        <w:t>.</w:t>
      </w:r>
    </w:p>
    <w:p>
      <w:pPr>
        <w:pStyle w:val="9"/>
        <w:spacing w:before="170" w:after="170" w:line="276" w:lineRule="auto"/>
        <w:ind w:left="0"/>
        <w:jc w:val="both"/>
        <w:rPr>
          <w:rFonts w:asciiTheme="minorHAnsi" w:hAnsiTheme="minorHAnsi"/>
          <w:sz w:val="22"/>
          <w:szCs w:val="22"/>
        </w:rPr>
      </w:pPr>
    </w:p>
    <w:p>
      <w:pPr>
        <w:pStyle w:val="9"/>
        <w:spacing w:before="170" w:after="170" w:line="276" w:lineRule="auto"/>
        <w:ind w:left="0"/>
        <w:jc w:val="both"/>
        <w:rPr>
          <w:rFonts w:asciiTheme="minorHAnsi" w:hAnsiTheme="minorHAnsi"/>
          <w:sz w:val="22"/>
          <w:szCs w:val="22"/>
        </w:rPr>
      </w:pPr>
      <w:r>
        <w:rPr>
          <w:rFonts w:cs="Arial" w:asciiTheme="minorHAnsi" w:hAnsiTheme="minorHAnsi"/>
          <w:sz w:val="22"/>
          <w:szCs w:val="22"/>
        </w:rPr>
        <w:t xml:space="preserve">El </w:t>
      </w:r>
      <w:r>
        <w:rPr>
          <w:rFonts w:cs="Arial" w:asciiTheme="minorHAnsi" w:hAnsiTheme="minorHAnsi"/>
          <w:bCs/>
          <w:sz w:val="22"/>
          <w:szCs w:val="22"/>
        </w:rPr>
        <w:t>Valor Estimado del Contrato</w:t>
      </w:r>
      <w:r>
        <w:rPr>
          <w:rFonts w:cs="Arial" w:asciiTheme="minorHAnsi" w:hAnsiTheme="minorHAnsi"/>
          <w:b/>
          <w:bCs/>
          <w:sz w:val="22"/>
          <w:szCs w:val="22"/>
        </w:rPr>
        <w:t xml:space="preserve">, </w:t>
      </w:r>
      <w:r>
        <w:rPr>
          <w:rFonts w:cs="Arial" w:asciiTheme="minorHAnsi" w:hAnsiTheme="minorHAnsi"/>
          <w:sz w:val="22"/>
          <w:szCs w:val="22"/>
        </w:rPr>
        <w:t xml:space="preserve">incluyendo, además de los cuatro años de contrato, el/los año/s de prórroga y las posibles ampliaciones previstas, asciende a </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XX,XX</w:t>
      </w:r>
      <w:r>
        <w:rPr>
          <w:rFonts w:cs="Arial" w:asciiTheme="minorHAnsi" w:hAnsiTheme="minorHAnsi"/>
          <w:b/>
          <w:sz w:val="22"/>
          <w:szCs w:val="22"/>
        </w:rPr>
        <w:t xml:space="preserve"> €</w:t>
      </w:r>
      <w:r>
        <w:rPr>
          <w:rFonts w:cs="Arial" w:asciiTheme="minorHAnsi" w:hAnsiTheme="minorHAnsi"/>
          <w:sz w:val="22"/>
          <w:szCs w:val="22"/>
        </w:rPr>
        <w:t xml:space="preserve"> (IVA excluido) de los que: </w:t>
      </w:r>
    </w:p>
    <w:p>
      <w:pPr>
        <w:pStyle w:val="9"/>
        <w:spacing w:before="170" w:after="170" w:line="276" w:lineRule="auto"/>
        <w:ind w:left="0"/>
        <w:jc w:val="both"/>
        <w:rPr>
          <w:rFonts w:asciiTheme="minorHAnsi" w:hAnsiTheme="minorHAnsi"/>
          <w:sz w:val="22"/>
          <w:szCs w:val="22"/>
        </w:rPr>
      </w:pPr>
    </w:p>
    <w:p>
      <w:pPr>
        <w:pStyle w:val="20"/>
        <w:rPr>
          <w:b w:val="0"/>
          <w:bCs w:val="0"/>
        </w:rPr>
      </w:pPr>
      <w:r>
        <w:rPr>
          <w:highlight w:val="lightGray"/>
        </w:rPr>
        <w:t>XX,XX</w:t>
      </w:r>
      <w:r>
        <w:t xml:space="preserve"> €  </w:t>
      </w:r>
      <w:r>
        <w:rPr>
          <w:b w:val="0"/>
          <w:bCs w:val="0"/>
        </w:rPr>
        <w:t xml:space="preserve">corresponden al Lote 1 </w:t>
      </w:r>
    </w:p>
    <w:p>
      <w:pPr>
        <w:pStyle w:val="20"/>
      </w:pPr>
      <w:r>
        <w:rPr>
          <w:highlight w:val="lightGray"/>
        </w:rPr>
        <w:t>XX,XX</w:t>
      </w:r>
      <w:r>
        <w:t xml:space="preserve"> €  </w:t>
      </w:r>
      <w:r>
        <w:rPr>
          <w:b w:val="0"/>
          <w:bCs w:val="0"/>
        </w:rPr>
        <w:t>corresponden al Lote 2</w:t>
      </w:r>
    </w:p>
    <w:p>
      <w:pPr>
        <w:pStyle w:val="20"/>
        <w:rPr>
          <w:b w:val="0"/>
          <w:bCs w:val="0"/>
        </w:rPr>
      </w:pPr>
      <w:r>
        <w:rPr>
          <w:b w:val="0"/>
          <w:bCs w:val="0"/>
        </w:rPr>
        <w:t xml:space="preserve">Etc. </w:t>
      </w:r>
    </w:p>
    <w:p>
      <w:pPr>
        <w:pStyle w:val="9"/>
        <w:spacing w:before="170" w:after="170" w:line="276" w:lineRule="auto"/>
        <w:ind w:left="1800"/>
        <w:jc w:val="both"/>
        <w:rPr>
          <w:rFonts w:asciiTheme="minorHAnsi" w:hAnsiTheme="minorHAnsi"/>
          <w:sz w:val="22"/>
          <w:szCs w:val="22"/>
        </w:rPr>
      </w:pPr>
    </w:p>
    <w:p>
      <w:pPr>
        <w:pStyle w:val="9"/>
        <w:spacing w:before="170" w:after="170" w:line="276" w:lineRule="auto"/>
        <w:ind w:left="0"/>
        <w:jc w:val="both"/>
        <w:rPr>
          <w:rFonts w:asciiTheme="minorHAnsi" w:hAnsiTheme="minorHAnsi"/>
          <w:sz w:val="22"/>
          <w:szCs w:val="22"/>
        </w:rPr>
      </w:pPr>
      <w:r>
        <w:rPr>
          <w:rStyle w:val="21"/>
          <w:rFonts w:asciiTheme="minorHAnsi" w:hAnsiTheme="minorHAnsi"/>
        </w:rPr>
        <w:t>4.</w:t>
      </w:r>
      <w:r>
        <w:rPr>
          <w:rFonts w:cs="Arial" w:asciiTheme="minorHAnsi" w:hAnsiTheme="minorHAnsi"/>
          <w:sz w:val="22"/>
          <w:szCs w:val="22"/>
        </w:rPr>
        <w:t xml:space="preserve"> El </w:t>
      </w:r>
      <w:r>
        <w:rPr>
          <w:rFonts w:cs="Arial" w:asciiTheme="minorHAnsi" w:hAnsiTheme="minorHAnsi"/>
          <w:b/>
          <w:bCs/>
          <w:sz w:val="22"/>
          <w:szCs w:val="22"/>
        </w:rPr>
        <w:t>Canon Anual</w:t>
      </w:r>
      <w:r>
        <w:rPr>
          <w:rFonts w:cs="Arial" w:asciiTheme="minorHAnsi" w:hAnsiTheme="minorHAnsi"/>
          <w:sz w:val="22"/>
          <w:szCs w:val="22"/>
        </w:rPr>
        <w:t xml:space="preserve"> (IVA incluido) del Servicio de Conservación y Mantenimiento - excluidos los trabajos de medición/suministros - sobre el que articular la Oferta Económica de las empresas licitadoras asciende a </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 xml:space="preserve">XX,XX </w:t>
      </w:r>
      <w:r>
        <w:rPr>
          <w:rFonts w:cs="Arial" w:asciiTheme="minorHAnsi" w:hAnsiTheme="minorHAnsi"/>
          <w:b/>
          <w:bCs/>
          <w:sz w:val="22"/>
          <w:szCs w:val="22"/>
        </w:rPr>
        <w:t>euros</w:t>
      </w:r>
      <w:r>
        <w:rPr>
          <w:rFonts w:cs="Arial" w:asciiTheme="minorHAnsi" w:hAnsiTheme="minorHAnsi"/>
          <w:sz w:val="22"/>
          <w:szCs w:val="22"/>
        </w:rPr>
        <w:t xml:space="preserve"> para el Lote 1, </w:t>
      </w:r>
      <w:r>
        <w:rPr>
          <w:rFonts w:cs="Arial" w:asciiTheme="minorHAnsi" w:hAnsiTheme="minorHAnsi"/>
          <w:b/>
          <w:bCs/>
          <w:sz w:val="22"/>
          <w:szCs w:val="22"/>
        </w:rPr>
        <w:t>X</w:t>
      </w:r>
      <w:r>
        <w:rPr>
          <w:rFonts w:cs="Arial" w:asciiTheme="minorHAnsi" w:hAnsiTheme="minorHAnsi" w:eastAsiaTheme="minorHAnsi"/>
          <w:b/>
          <w:bCs/>
          <w:color w:val="000000" w:themeColor="text1"/>
          <w:sz w:val="22"/>
          <w:szCs w:val="22"/>
          <w:highlight w:val="lightGray"/>
          <w:lang w:eastAsia="en-US"/>
          <w14:textFill>
            <w14:solidFill>
              <w14:schemeClr w14:val="tx1"/>
            </w14:solidFill>
          </w14:textFill>
        </w:rPr>
        <w:t xml:space="preserve">X,XX </w:t>
      </w:r>
      <w:r>
        <w:rPr>
          <w:rFonts w:cs="Arial" w:asciiTheme="minorHAnsi" w:hAnsiTheme="minorHAnsi"/>
          <w:b/>
          <w:bCs/>
          <w:sz w:val="22"/>
          <w:szCs w:val="22"/>
        </w:rPr>
        <w:t>euros</w:t>
      </w:r>
      <w:r>
        <w:rPr>
          <w:rFonts w:cs="Arial" w:asciiTheme="minorHAnsi" w:hAnsiTheme="minorHAnsi"/>
          <w:sz w:val="22"/>
          <w:szCs w:val="22"/>
        </w:rPr>
        <w:t xml:space="preserve"> para el Lote 2, etc. </w:t>
      </w:r>
    </w:p>
    <w:p>
      <w:pPr>
        <w:spacing w:before="170" w:after="170" w:line="276" w:lineRule="auto"/>
        <w:jc w:val="both"/>
        <w:rPr>
          <w:rFonts w:cs="Arial" w:asciiTheme="minorHAnsi" w:hAnsiTheme="minorHAnsi"/>
          <w:sz w:val="22"/>
          <w:szCs w:val="22"/>
        </w:rPr>
      </w:pPr>
    </w:p>
    <w:p>
      <w:pPr>
        <w:spacing w:before="170" w:after="170" w:line="276" w:lineRule="auto"/>
        <w:jc w:val="both"/>
        <w:rPr>
          <w:rFonts w:asciiTheme="minorHAnsi" w:hAnsiTheme="minorHAnsi"/>
          <w:sz w:val="22"/>
          <w:szCs w:val="22"/>
        </w:rPr>
      </w:pPr>
      <w:r>
        <w:rPr>
          <w:rStyle w:val="21"/>
          <w:rFonts w:asciiTheme="minorHAnsi" w:hAnsiTheme="minorHAnsi"/>
        </w:rPr>
        <w:t>5.</w:t>
      </w:r>
      <w:r>
        <w:rPr>
          <w:rFonts w:cs="Arial" w:asciiTheme="minorHAnsi" w:hAnsiTheme="minorHAnsi"/>
          <w:b/>
          <w:sz w:val="22"/>
          <w:szCs w:val="22"/>
        </w:rPr>
        <w:t xml:space="preserve"> </w:t>
      </w:r>
      <w:r>
        <w:rPr>
          <w:rFonts w:cs="Arial" w:asciiTheme="minorHAnsi" w:hAnsiTheme="minorHAnsi"/>
          <w:sz w:val="22"/>
          <w:szCs w:val="22"/>
        </w:rPr>
        <w:t xml:space="preserve">Sin entrar en todas aquellas cuestiones que son estrictamente de carácter técnico, se considera que </w:t>
      </w:r>
      <w:r>
        <w:rPr>
          <w:rFonts w:cs="Arial" w:asciiTheme="minorHAnsi" w:hAnsiTheme="minorHAnsi"/>
          <w:bCs/>
          <w:sz w:val="22"/>
          <w:szCs w:val="22"/>
        </w:rPr>
        <w:t>los criterios económicos aplicados en la elaboración del Presupuesto Base de Licitación y el Valor Estimado del Contrato</w:t>
      </w:r>
      <w:r>
        <w:rPr>
          <w:rFonts w:cs="Arial" w:asciiTheme="minorHAnsi" w:hAnsiTheme="minorHAnsi"/>
          <w:sz w:val="22"/>
          <w:szCs w:val="22"/>
        </w:rPr>
        <w:t xml:space="preserve"> del </w:t>
      </w:r>
      <w:r>
        <w:rPr>
          <w:rFonts w:cs="Arial" w:asciiTheme="minorHAnsi" w:hAnsiTheme="minorHAnsi"/>
          <w:bCs/>
          <w:iCs/>
          <w:sz w:val="22"/>
          <w:szCs w:val="22"/>
        </w:rPr>
        <w:t xml:space="preserve">SERVICIO DE CONSERVACIÓN Y MANTENIMIENTO DE LA INFRAESTRUCTURA VERDE DEL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AYUNTAMIENTO DE</w:t>
      </w:r>
      <w:r>
        <w:rPr>
          <w:rFonts w:cs="Arial" w:asciiTheme="minorHAnsi" w:hAnsiTheme="minorHAnsi"/>
          <w:bCs/>
          <w:iCs/>
          <w:sz w:val="22"/>
          <w:szCs w:val="22"/>
        </w:rPr>
        <w:t xml:space="preserve"> …</w:t>
      </w:r>
      <w:r>
        <w:rPr>
          <w:rFonts w:cs="Arial" w:asciiTheme="minorHAnsi" w:hAnsiTheme="minorHAnsi"/>
          <w:sz w:val="22"/>
          <w:szCs w:val="22"/>
        </w:rPr>
        <w:t xml:space="preserve"> </w:t>
      </w:r>
      <w:r>
        <w:rPr>
          <w:rFonts w:cs="Arial" w:asciiTheme="minorHAnsi" w:hAnsiTheme="minorHAnsi"/>
          <w:bCs/>
          <w:sz w:val="22"/>
          <w:szCs w:val="22"/>
        </w:rPr>
        <w:t>son correctos.</w:t>
      </w:r>
    </w:p>
    <w:p>
      <w:pPr>
        <w:spacing w:before="170" w:after="170" w:line="276" w:lineRule="auto"/>
        <w:jc w:val="both"/>
        <w:rPr>
          <w:rFonts w:cs="Arial" w:asciiTheme="minorHAnsi" w:hAnsiTheme="minorHAnsi"/>
          <w:bCs/>
          <w:sz w:val="22"/>
          <w:szCs w:val="22"/>
        </w:rPr>
      </w:pPr>
      <w:r>
        <w:rPr>
          <w:rFonts w:cs="Arial" w:asciiTheme="minorHAnsi" w:hAnsiTheme="minorHAnsi"/>
          <w:sz w:val="22"/>
          <w:szCs w:val="22"/>
        </w:rPr>
        <w:t xml:space="preserve">La presente estimación -que presupone una dedicación y organización de medios para su prestación de acuerdo a lo propuesto por el Servicio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(de Infraestructura Verde)</w:t>
      </w:r>
      <w:r>
        <w:rPr>
          <w:rFonts w:cs="Arial" w:asciiTheme="minorHAnsi" w:hAnsiTheme="minorHAnsi"/>
          <w:sz w:val="22"/>
          <w:szCs w:val="22"/>
        </w:rPr>
        <w:t xml:space="preserve"> - se realiza a los únicos efectos de lo determinado en los artículos 100 y 101 de la Ley de Contratos del Sector público, y </w:t>
      </w:r>
      <w:r>
        <w:rPr>
          <w:rFonts w:cs="Arial" w:asciiTheme="minorHAnsi" w:hAnsiTheme="minorHAnsi"/>
          <w:bCs/>
          <w:sz w:val="22"/>
          <w:szCs w:val="22"/>
        </w:rPr>
        <w:t>no condiciona la capacidad y autonomía de las empresas licitantes a la hora de organizar la prestación del servicio.</w:t>
      </w:r>
    </w:p>
    <w:p>
      <w:pPr>
        <w:spacing w:before="227" w:after="227" w:line="276" w:lineRule="auto"/>
        <w:jc w:val="both"/>
        <w:rPr>
          <w:rFonts w:cs="Arial" w:asciiTheme="minorHAnsi" w:hAnsiTheme="minorHAnsi"/>
          <w:sz w:val="22"/>
          <w:szCs w:val="22"/>
        </w:rPr>
      </w:pPr>
      <w:r>
        <w:rPr>
          <w:rFonts w:cs="Arial" w:asciiTheme="minorHAnsi" w:hAnsiTheme="minorHAnsi"/>
          <w:sz w:val="22"/>
          <w:szCs w:val="22"/>
          <w:lang w:eastAsia="en-US"/>
        </w:rPr>
        <w:t xml:space="preserve">En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XX</w:t>
      </w:r>
      <w:r>
        <w:rPr>
          <w:rFonts w:cs="Arial" w:asciiTheme="minorHAnsi" w:hAnsiTheme="minorHAnsi"/>
          <w:sz w:val="22"/>
          <w:szCs w:val="22"/>
        </w:rPr>
        <w:t xml:space="preserve">, a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XX</w:t>
      </w:r>
      <w:r>
        <w:rPr>
          <w:rFonts w:cs="Arial" w:asciiTheme="minorHAnsi" w:hAnsiTheme="minorHAnsi"/>
          <w:sz w:val="22"/>
          <w:szCs w:val="22"/>
        </w:rPr>
        <w:t xml:space="preserve"> de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XX</w:t>
      </w:r>
      <w:r>
        <w:rPr>
          <w:rFonts w:cs="Arial" w:asciiTheme="minorHAnsi" w:hAnsiTheme="minorHAnsi"/>
          <w:sz w:val="22"/>
          <w:szCs w:val="22"/>
        </w:rPr>
        <w:t xml:space="preserve"> de </w:t>
      </w:r>
      <w:r>
        <w:rPr>
          <w:rFonts w:cs="Arial" w:asciiTheme="minorHAnsi" w:hAnsiTheme="minorHAnsi" w:eastAsiaTheme="minorHAnsi"/>
          <w:color w:val="000000" w:themeColor="text1"/>
          <w:sz w:val="22"/>
          <w:szCs w:val="22"/>
          <w:highlight w:val="lightGray"/>
          <w:lang w:eastAsia="en-US"/>
          <w14:textFill>
            <w14:solidFill>
              <w14:schemeClr w14:val="tx1"/>
            </w14:solidFill>
          </w14:textFill>
        </w:rPr>
        <w:t>20XX</w:t>
      </w:r>
    </w:p>
    <w:p>
      <w:pPr>
        <w:spacing w:before="227" w:after="227" w:line="276" w:lineRule="auto"/>
        <w:jc w:val="both"/>
        <w:rPr>
          <w:rFonts w:cs="Arial" w:asciiTheme="minorHAnsi" w:hAnsiTheme="minorHAnsi"/>
          <w:sz w:val="22"/>
          <w:szCs w:val="22"/>
        </w:rPr>
      </w:pPr>
    </w:p>
    <w:p>
      <w:pPr>
        <w:spacing w:before="227" w:after="227" w:line="276" w:lineRule="auto"/>
        <w:jc w:val="both"/>
        <w:rPr>
          <w:rFonts w:cs="Arial" w:asciiTheme="minorHAnsi" w:hAnsiTheme="minorHAnsi"/>
          <w:sz w:val="22"/>
          <w:szCs w:val="22"/>
        </w:rPr>
      </w:pPr>
    </w:p>
    <w:p>
      <w:pPr>
        <w:spacing w:before="227" w:after="227" w:line="276" w:lineRule="auto"/>
        <w:jc w:val="both"/>
        <w:rPr>
          <w:rFonts w:cs="Arial" w:asciiTheme="minorHAnsi" w:hAnsiTheme="minorHAnsi"/>
          <w:sz w:val="22"/>
          <w:szCs w:val="22"/>
        </w:rPr>
      </w:pPr>
    </w:p>
    <w:p>
      <w:pPr>
        <w:spacing w:before="227" w:after="227" w:line="276" w:lineRule="auto"/>
        <w:jc w:val="both"/>
        <w:rPr>
          <w:rFonts w:asciiTheme="minorHAnsi" w:hAnsiTheme="minorHAnsi"/>
          <w:sz w:val="22"/>
          <w:szCs w:val="22"/>
        </w:rPr>
      </w:pPr>
      <w:r>
        <w:rPr>
          <w:rFonts w:cs="Arial" w:asciiTheme="minorHAnsi" w:hAnsiTheme="minorHAnsi"/>
          <w:sz w:val="22"/>
          <w:szCs w:val="22"/>
        </w:rPr>
        <w:t>FIRMAS</w:t>
      </w:r>
    </w:p>
    <w:p>
      <w:pPr>
        <w:rPr>
          <w:rFonts w:cs="Arial" w:asciiTheme="minorHAnsi" w:hAnsiTheme="minorHAnsi"/>
          <w:i/>
          <w:iCs/>
          <w:color w:val="A6A6A6" w:themeColor="background1" w:themeShade="A6"/>
          <w:sz w:val="22"/>
          <w:szCs w:val="22"/>
        </w:rPr>
      </w:pPr>
      <w:r>
        <w:rPr>
          <w:rFonts w:cs="Arial" w:asciiTheme="minorHAnsi" w:hAnsiTheme="minorHAnsi"/>
          <w:i/>
          <w:iCs/>
          <w:color w:val="A6A6A6" w:themeColor="background1" w:themeShade="A6"/>
          <w:sz w:val="22"/>
          <w:szCs w:val="22"/>
        </w:rPr>
        <w:br w:type="page"/>
      </w:r>
    </w:p>
    <w:p>
      <w:pPr>
        <w:spacing w:before="227" w:after="227" w:line="276" w:lineRule="auto"/>
        <w:jc w:val="center"/>
        <w:rPr>
          <w:rFonts w:cs="Arial" w:asciiTheme="minorHAnsi" w:hAnsiTheme="minorHAnsi"/>
          <w:i/>
          <w:iCs/>
          <w:color w:val="A6A6A6" w:themeColor="background1" w:themeShade="A6"/>
          <w:sz w:val="22"/>
          <w:szCs w:val="22"/>
        </w:rPr>
      </w:pPr>
      <w:r>
        <w:rPr>
          <w:rFonts w:cs="Arial" w:asciiTheme="minorHAnsi" w:hAnsiTheme="minorHAnsi"/>
          <w:i/>
          <w:iCs/>
          <w:color w:val="A6A6A6" w:themeColor="background1" w:themeShade="A6"/>
          <w:sz w:val="22"/>
          <w:szCs w:val="22"/>
        </w:rPr>
        <w:t>(INCLUIR TABLAS RESUMEN DE DATOS ECONÓMICOS)</w:t>
      </w:r>
    </w:p>
    <w:p>
      <w:pPr>
        <w:rPr>
          <w:rFonts w:asciiTheme="minorHAnsi" w:hAnsiTheme="minorHAnsi"/>
          <w:sz w:val="22"/>
          <w:szCs w:val="22"/>
        </w:rPr>
      </w:pPr>
    </w:p>
    <w:sectPr>
      <w:footerReference r:id="rId3" w:type="default"/>
      <w:pgSz w:w="11906" w:h="16838"/>
      <w:pgMar w:top="1418" w:right="1701" w:bottom="1979" w:left="1701" w:header="720" w:footer="141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Gill Sans Std">
    <w:altName w:val="Gill Sans MT"/>
    <w:panose1 w:val="020B0502020104020203"/>
    <w:charset w:val="00"/>
    <w:family w:val="swiss"/>
    <w:pitch w:val="default"/>
    <w:sig w:usb0="00000000" w:usb1="00000000" w:usb2="00000000" w:usb3="00000000" w:csb0="00000001" w:csb1="00000000"/>
  </w:font>
  <w:font w:name="Gill Sans MT">
    <w:panose1 w:val="020B0502020104020203"/>
    <w:charset w:val="00"/>
    <w:family w:val="auto"/>
    <w:pitch w:val="default"/>
    <w:sig w:usb0="00000003" w:usb1="00000000" w:usb2="00000000" w:usb3="00000000" w:csb0="20000003"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501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rFonts w:asciiTheme="minorHAnsi" w:hAnsiTheme="minorHAnsi"/>
        <w:color w:val="99CB38"/>
      </w:rPr>
      <mc:AlternateContent>
        <mc:Choice Requires="wps">
          <w:drawing>
            <wp:anchor distT="0" distB="0" distL="114300" distR="114300" simplePos="0" relativeHeight="251659264" behindDoc="1" locked="0" layoutInCell="1" allowOverlap="1">
              <wp:simplePos x="0" y="0"/>
              <wp:positionH relativeFrom="page">
                <wp:posOffset>6630035</wp:posOffset>
              </wp:positionH>
              <wp:positionV relativeFrom="page">
                <wp:posOffset>10151745</wp:posOffset>
              </wp:positionV>
              <wp:extent cx="0" cy="540385"/>
              <wp:effectExtent l="0" t="0" r="38100" b="31115"/>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line">
                        <a:avLst/>
                      </a:prstGeom>
                      <a:noFill/>
                      <a:ln w="12700">
                        <a:solidFill>
                          <a:srgbClr val="99CB38"/>
                        </a:solidFill>
                        <a:prstDash val="solid"/>
                        <a:round/>
                      </a:ln>
                    </wps:spPr>
                    <wps:bodyPr/>
                  </wps:wsp>
                </a:graphicData>
              </a:graphic>
            </wp:anchor>
          </w:drawing>
        </mc:Choice>
        <mc:Fallback>
          <w:pict>
            <v:line id="Line 2" o:spid="_x0000_s1026" o:spt="20" style="position:absolute;left:0pt;margin-left:522.05pt;margin-top:799.35pt;height:42.55pt;width:0pt;mso-position-horizontal-relative:page;mso-position-vertical-relative:page;z-index:-251657216;mso-width-relative:page;mso-height-relative:page;" filled="f" stroked="t" coordsize="21600,21600" o:gfxdata="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SL7xtoAAAAPAQAADwAAAAAA&#10;AAABACAAAAAiAAAAZHJzL2Rvd25yZXYueG1sUEsBAhQAFAAAAAgAh07iQK/mKknYAQAAuAMAAA4A&#10;AAAAAAAAAQAgAAAAKQEAAGRycy9lMm9Eb2MueG1sUEsFBgAAAAAGAAYAWQEAAHMFAAAAAA==&#10;">
              <v:fill on="f" focussize="0,0"/>
              <v:stroke weight="1pt" color="#99CB38"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6725285</wp:posOffset>
              </wp:positionH>
              <wp:positionV relativeFrom="page">
                <wp:posOffset>10104120</wp:posOffset>
              </wp:positionV>
              <wp:extent cx="165100" cy="202565"/>
              <wp:effectExtent l="0" t="0" r="0" b="0"/>
              <wp:wrapNone/>
              <wp:docPr id="2" name="docshape82"/>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noFill/>
                      <a:ln>
                        <a:noFill/>
                      </a:ln>
                    </wps:spPr>
                    <wps:txbx>
                      <w:txbxContent>
                        <w:p>
                          <w:pPr>
                            <w:spacing w:before="20"/>
                            <w:ind w:left="60"/>
                            <w:rPr>
                              <w:rFonts w:asciiTheme="minorHAnsi" w:hAnsiTheme="minorHAnsi"/>
                              <w:sz w:val="20"/>
                              <w:szCs w:val="20"/>
                            </w:rPr>
                          </w:pPr>
                          <w:r>
                            <w:rPr>
                              <w:rFonts w:asciiTheme="minorHAnsi" w:hAnsiTheme="minorHAnsi"/>
                              <w:color w:val="231F20"/>
                              <w:sz w:val="20"/>
                              <w:szCs w:val="20"/>
                            </w:rPr>
                            <w:fldChar w:fldCharType="begin"/>
                          </w:r>
                          <w:r>
                            <w:rPr>
                              <w:rFonts w:asciiTheme="minorHAnsi" w:hAnsiTheme="minorHAnsi"/>
                              <w:color w:val="231F20"/>
                              <w:sz w:val="20"/>
                              <w:szCs w:val="20"/>
                            </w:rPr>
                            <w:instrText xml:space="preserve"> PAGE </w:instrText>
                          </w:r>
                          <w:r>
                            <w:rPr>
                              <w:rFonts w:asciiTheme="minorHAnsi" w:hAnsiTheme="minorHAnsi"/>
                              <w:color w:val="231F20"/>
                              <w:sz w:val="20"/>
                              <w:szCs w:val="20"/>
                            </w:rPr>
                            <w:fldChar w:fldCharType="separate"/>
                          </w:r>
                          <w:r>
                            <w:rPr>
                              <w:rFonts w:asciiTheme="minorHAnsi" w:hAnsiTheme="minorHAnsi"/>
                              <w:color w:val="231F20"/>
                              <w:sz w:val="20"/>
                              <w:szCs w:val="20"/>
                            </w:rPr>
                            <w:t>5</w:t>
                          </w:r>
                          <w:r>
                            <w:rPr>
                              <w:rFonts w:asciiTheme="minorHAnsi" w:hAnsiTheme="minorHAnsi"/>
                              <w:color w:val="231F20"/>
                              <w:sz w:val="20"/>
                              <w:szCs w:val="20"/>
                            </w:rPr>
                            <w:fldChar w:fldCharType="end"/>
                          </w:r>
                        </w:p>
                      </w:txbxContent>
                    </wps:txbx>
                    <wps:bodyPr rot="0" vert="horz" wrap="square" lIns="0" tIns="0" rIns="0" bIns="0" anchor="t" anchorCtr="0" upright="1">
                      <a:noAutofit/>
                    </wps:bodyPr>
                  </wps:wsp>
                </a:graphicData>
              </a:graphic>
            </wp:anchor>
          </w:drawing>
        </mc:Choice>
        <mc:Fallback>
          <w:pict>
            <v:shape id="docshape82" o:spid="_x0000_s1026" o:spt="202" type="#_x0000_t202" style="position:absolute;left:0pt;margin-left:529.55pt;margin-top:795.6pt;height:15.95pt;width:13pt;mso-position-horizontal-relative:page;mso-position-vertical-relative:page;z-index:-251656192;mso-width-relative:page;mso-height-relative:page;" filled="f" stroked="f" coordsize="21600,21600" o:gfxdata="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Zq5x2gAAAA8BAAAPAAAAAAAAAAEAIAAAACIAAABkcnMvZG93bnJl&#10;di54bWxQSwECFAAUAAAACACHTuJA/RP1O/sBAAADBAAADgAAAAAAAAABACAAAAApAQAAZHJzL2Uy&#10;b0RvYy54bWxQSwUGAAAAAAYABgBZAQAAlgUAAAAA&#10;">
              <v:fill on="f" focussize="0,0"/>
              <v:stroke on="f"/>
              <v:imagedata o:title=""/>
              <o:lock v:ext="edit" aspectratio="f"/>
              <v:textbox inset="0mm,0mm,0mm,0mm">
                <w:txbxContent>
                  <w:p>
                    <w:pPr>
                      <w:spacing w:before="20"/>
                      <w:ind w:left="60"/>
                      <w:rPr>
                        <w:rFonts w:asciiTheme="minorHAnsi" w:hAnsiTheme="minorHAnsi"/>
                        <w:sz w:val="20"/>
                        <w:szCs w:val="20"/>
                      </w:rPr>
                    </w:pPr>
                    <w:r>
                      <w:rPr>
                        <w:rFonts w:asciiTheme="minorHAnsi" w:hAnsiTheme="minorHAnsi"/>
                        <w:color w:val="231F20"/>
                        <w:sz w:val="20"/>
                        <w:szCs w:val="20"/>
                      </w:rPr>
                      <w:fldChar w:fldCharType="begin"/>
                    </w:r>
                    <w:r>
                      <w:rPr>
                        <w:rFonts w:asciiTheme="minorHAnsi" w:hAnsiTheme="minorHAnsi"/>
                        <w:color w:val="231F20"/>
                        <w:sz w:val="20"/>
                        <w:szCs w:val="20"/>
                      </w:rPr>
                      <w:instrText xml:space="preserve"> PAGE </w:instrText>
                    </w:r>
                    <w:r>
                      <w:rPr>
                        <w:rFonts w:asciiTheme="minorHAnsi" w:hAnsiTheme="minorHAnsi"/>
                        <w:color w:val="231F20"/>
                        <w:sz w:val="20"/>
                        <w:szCs w:val="20"/>
                      </w:rPr>
                      <w:fldChar w:fldCharType="separate"/>
                    </w:r>
                    <w:r>
                      <w:rPr>
                        <w:rFonts w:asciiTheme="minorHAnsi" w:hAnsiTheme="minorHAnsi"/>
                        <w:color w:val="231F20"/>
                        <w:sz w:val="20"/>
                        <w:szCs w:val="20"/>
                      </w:rPr>
                      <w:t>5</w:t>
                    </w:r>
                    <w:r>
                      <w:rPr>
                        <w:rFonts w:asciiTheme="minorHAnsi" w:hAnsiTheme="minorHAnsi"/>
                        <w:color w:val="231F20"/>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E7714"/>
    <w:multiLevelType w:val="multilevel"/>
    <w:tmpl w:val="292E7714"/>
    <w:lvl w:ilvl="0" w:tentative="0">
      <w:start w:val="0"/>
      <w:numFmt w:val="bullet"/>
      <w:pStyle w:val="2"/>
      <w:lvlText w:val="■"/>
      <w:lvlJc w:val="left"/>
      <w:pPr>
        <w:ind w:left="1084" w:hanging="371"/>
      </w:pPr>
      <w:rPr>
        <w:rFonts w:hint="default" w:ascii="Arial" w:hAnsi="Arial"/>
        <w:b w:val="0"/>
        <w:bCs w:val="0"/>
        <w:i w:val="0"/>
        <w:iCs w:val="0"/>
        <w:color w:val="99CB38"/>
        <w:w w:val="100"/>
        <w:sz w:val="42"/>
        <w:szCs w:val="42"/>
        <w:lang w:val="es-ES" w:eastAsia="en-US" w:bidi="ar-SA"/>
      </w:rPr>
    </w:lvl>
    <w:lvl w:ilvl="1" w:tentative="0">
      <w:start w:val="0"/>
      <w:numFmt w:val="bullet"/>
      <w:lvlText w:val="•"/>
      <w:lvlJc w:val="left"/>
      <w:pPr>
        <w:ind w:left="2070" w:hanging="371"/>
      </w:pPr>
      <w:rPr>
        <w:rFonts w:hint="default"/>
        <w:lang w:val="es-ES" w:eastAsia="en-US" w:bidi="ar-SA"/>
      </w:rPr>
    </w:lvl>
    <w:lvl w:ilvl="2" w:tentative="0">
      <w:start w:val="0"/>
      <w:numFmt w:val="bullet"/>
      <w:lvlText w:val="•"/>
      <w:lvlJc w:val="left"/>
      <w:pPr>
        <w:ind w:left="3061" w:hanging="371"/>
      </w:pPr>
      <w:rPr>
        <w:rFonts w:hint="default"/>
        <w:lang w:val="es-ES" w:eastAsia="en-US" w:bidi="ar-SA"/>
      </w:rPr>
    </w:lvl>
    <w:lvl w:ilvl="3" w:tentative="0">
      <w:start w:val="0"/>
      <w:numFmt w:val="bullet"/>
      <w:lvlText w:val="•"/>
      <w:lvlJc w:val="left"/>
      <w:pPr>
        <w:ind w:left="4051" w:hanging="371"/>
      </w:pPr>
      <w:rPr>
        <w:rFonts w:hint="default"/>
        <w:lang w:val="es-ES" w:eastAsia="en-US" w:bidi="ar-SA"/>
      </w:rPr>
    </w:lvl>
    <w:lvl w:ilvl="4" w:tentative="0">
      <w:start w:val="0"/>
      <w:numFmt w:val="bullet"/>
      <w:lvlText w:val="•"/>
      <w:lvlJc w:val="left"/>
      <w:pPr>
        <w:ind w:left="5042" w:hanging="371"/>
      </w:pPr>
      <w:rPr>
        <w:rFonts w:hint="default"/>
        <w:lang w:val="es-ES" w:eastAsia="en-US" w:bidi="ar-SA"/>
      </w:rPr>
    </w:lvl>
    <w:lvl w:ilvl="5" w:tentative="0">
      <w:start w:val="0"/>
      <w:numFmt w:val="bullet"/>
      <w:lvlText w:val="•"/>
      <w:lvlJc w:val="left"/>
      <w:pPr>
        <w:ind w:left="6032" w:hanging="371"/>
      </w:pPr>
      <w:rPr>
        <w:rFonts w:hint="default"/>
        <w:lang w:val="es-ES" w:eastAsia="en-US" w:bidi="ar-SA"/>
      </w:rPr>
    </w:lvl>
    <w:lvl w:ilvl="6" w:tentative="0">
      <w:start w:val="0"/>
      <w:numFmt w:val="bullet"/>
      <w:lvlText w:val="•"/>
      <w:lvlJc w:val="left"/>
      <w:pPr>
        <w:ind w:left="7023" w:hanging="371"/>
      </w:pPr>
      <w:rPr>
        <w:rFonts w:hint="default"/>
        <w:lang w:val="es-ES" w:eastAsia="en-US" w:bidi="ar-SA"/>
      </w:rPr>
    </w:lvl>
    <w:lvl w:ilvl="7" w:tentative="0">
      <w:start w:val="0"/>
      <w:numFmt w:val="bullet"/>
      <w:lvlText w:val="•"/>
      <w:lvlJc w:val="left"/>
      <w:pPr>
        <w:ind w:left="8013" w:hanging="371"/>
      </w:pPr>
      <w:rPr>
        <w:rFonts w:hint="default"/>
        <w:lang w:val="es-ES" w:eastAsia="en-US" w:bidi="ar-SA"/>
      </w:rPr>
    </w:lvl>
    <w:lvl w:ilvl="8" w:tentative="0">
      <w:start w:val="0"/>
      <w:numFmt w:val="bullet"/>
      <w:lvlText w:val="•"/>
      <w:lvlJc w:val="left"/>
      <w:pPr>
        <w:ind w:left="9004" w:hanging="371"/>
      </w:pPr>
      <w:rPr>
        <w:rFonts w:hint="default"/>
        <w:lang w:val="es-ES" w:eastAsia="en-US" w:bidi="ar-SA"/>
      </w:rPr>
    </w:lvl>
  </w:abstractNum>
  <w:abstractNum w:abstractNumId="1">
    <w:nsid w:val="3AD0745D"/>
    <w:multiLevelType w:val="multilevel"/>
    <w:tmpl w:val="3AD0745D"/>
    <w:lvl w:ilvl="0" w:tentative="0">
      <w:start w:val="1"/>
      <w:numFmt w:val="decimal"/>
      <w:lvlText w:val="%1)"/>
      <w:lvlJc w:val="left"/>
      <w:pPr>
        <w:tabs>
          <w:tab w:val="left" w:pos="0"/>
        </w:tabs>
        <w:ind w:left="720" w:hanging="360"/>
      </w:pPr>
      <w:rPr>
        <w:rFonts w:hint="default"/>
        <w:b/>
        <w:bCs/>
        <w:i w:val="0"/>
        <w:color w:val="99CB38"/>
        <w:sz w:val="22"/>
      </w:rPr>
    </w:lvl>
    <w:lvl w:ilvl="1" w:tentative="0">
      <w:start w:val="1"/>
      <w:numFmt w:val="lowerLetter"/>
      <w:lvlText w:val="%2)"/>
      <w:lvlJc w:val="left"/>
      <w:pPr>
        <w:tabs>
          <w:tab w:val="left" w:pos="0"/>
        </w:tabs>
        <w:ind w:left="1440" w:hanging="360"/>
      </w:pPr>
      <w:rPr>
        <w:rFonts w:hint="default" w:ascii="Calibri" w:hAnsi="Calibri"/>
        <w:b w:val="0"/>
        <w:bCs/>
        <w:i w:val="0"/>
      </w:r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
    <w:nsid w:val="45A518EE"/>
    <w:multiLevelType w:val="multilevel"/>
    <w:tmpl w:val="45A518EE"/>
    <w:lvl w:ilvl="0" w:tentative="0">
      <w:start w:val="1"/>
      <w:numFmt w:val="bullet"/>
      <w:lvlText w:val=""/>
      <w:lvlJc w:val="left"/>
      <w:pPr>
        <w:tabs>
          <w:tab w:val="left" w:pos="360"/>
        </w:tabs>
        <w:ind w:left="360" w:hanging="360"/>
      </w:pPr>
      <w:rPr>
        <w:rFonts w:ascii="Symbol" w:hAnsi="Symbol" w:cs="OpenSymbol"/>
      </w:rPr>
    </w:lvl>
    <w:lvl w:ilvl="1" w:tentative="0">
      <w:start w:val="0"/>
      <w:numFmt w:val="bullet"/>
      <w:pStyle w:val="20"/>
      <w:lvlText w:val="•"/>
      <w:lvlJc w:val="left"/>
      <w:pPr>
        <w:tabs>
          <w:tab w:val="left" w:pos="720"/>
        </w:tabs>
        <w:ind w:left="720" w:hanging="360"/>
      </w:pPr>
      <w:rPr>
        <w:rFonts w:hint="default" w:ascii="Calibri" w:hAnsi="Calibri"/>
        <w:b/>
        <w:bCs w:val="0"/>
        <w:i w:val="0"/>
        <w:iCs w:val="0"/>
        <w:color w:val="99CB38"/>
        <w:w w:val="100"/>
        <w:sz w:val="22"/>
        <w:szCs w:val="42"/>
        <w:lang w:val="es-ES" w:eastAsia="en-US" w:bidi="ar-SA"/>
      </w:rPr>
    </w:lvl>
    <w:lvl w:ilvl="2" w:tentative="0">
      <w:start w:val="1"/>
      <w:numFmt w:val="bullet"/>
      <w:lvlText w:val="▪"/>
      <w:lvlJc w:val="left"/>
      <w:pPr>
        <w:tabs>
          <w:tab w:val="left" w:pos="1080"/>
        </w:tabs>
        <w:ind w:left="1080" w:hanging="360"/>
      </w:pPr>
      <w:rPr>
        <w:rFonts w:ascii="OpenSymbol" w:hAnsi="OpenSymbol" w:cs="OpenSymbol"/>
      </w:rPr>
    </w:lvl>
    <w:lvl w:ilvl="3" w:tentative="0">
      <w:start w:val="1"/>
      <w:numFmt w:val="bullet"/>
      <w:lvlText w:val=""/>
      <w:lvlJc w:val="left"/>
      <w:pPr>
        <w:tabs>
          <w:tab w:val="left" w:pos="1440"/>
        </w:tabs>
        <w:ind w:left="1440" w:hanging="360"/>
      </w:pPr>
      <w:rPr>
        <w:rFonts w:ascii="Symbol" w:hAnsi="Symbol" w:cs="OpenSymbol"/>
      </w:rPr>
    </w:lvl>
    <w:lvl w:ilvl="4" w:tentative="0">
      <w:start w:val="1"/>
      <w:numFmt w:val="bullet"/>
      <w:lvlText w:val="◦"/>
      <w:lvlJc w:val="left"/>
      <w:pPr>
        <w:tabs>
          <w:tab w:val="left" w:pos="1800"/>
        </w:tabs>
        <w:ind w:left="1800" w:hanging="360"/>
      </w:pPr>
      <w:rPr>
        <w:rFonts w:ascii="OpenSymbol" w:hAnsi="OpenSymbol" w:cs="OpenSymbol"/>
      </w:rPr>
    </w:lvl>
    <w:lvl w:ilvl="5" w:tentative="0">
      <w:start w:val="1"/>
      <w:numFmt w:val="bullet"/>
      <w:lvlText w:val="▪"/>
      <w:lvlJc w:val="left"/>
      <w:pPr>
        <w:tabs>
          <w:tab w:val="left" w:pos="2160"/>
        </w:tabs>
        <w:ind w:left="2160" w:hanging="360"/>
      </w:pPr>
      <w:rPr>
        <w:rFonts w:ascii="OpenSymbol" w:hAnsi="OpenSymbol" w:cs="OpenSymbol"/>
      </w:rPr>
    </w:lvl>
    <w:lvl w:ilvl="6" w:tentative="0">
      <w:start w:val="1"/>
      <w:numFmt w:val="bullet"/>
      <w:lvlText w:val=""/>
      <w:lvlJc w:val="left"/>
      <w:pPr>
        <w:tabs>
          <w:tab w:val="left" w:pos="2520"/>
        </w:tabs>
        <w:ind w:left="2520" w:hanging="360"/>
      </w:pPr>
      <w:rPr>
        <w:rFonts w:ascii="Symbol" w:hAnsi="Symbol" w:cs="OpenSymbol"/>
      </w:rPr>
    </w:lvl>
    <w:lvl w:ilvl="7" w:tentative="0">
      <w:start w:val="1"/>
      <w:numFmt w:val="bullet"/>
      <w:lvlText w:val="◦"/>
      <w:lvlJc w:val="left"/>
      <w:pPr>
        <w:tabs>
          <w:tab w:val="left" w:pos="2880"/>
        </w:tabs>
        <w:ind w:left="2880" w:hanging="360"/>
      </w:pPr>
      <w:rPr>
        <w:rFonts w:ascii="OpenSymbol" w:hAnsi="OpenSymbol" w:cs="OpenSymbol"/>
      </w:rPr>
    </w:lvl>
    <w:lvl w:ilvl="8" w:tentative="0">
      <w:start w:val="1"/>
      <w:numFmt w:val="bullet"/>
      <w:lvlText w:val="▪"/>
      <w:lvlJc w:val="left"/>
      <w:pPr>
        <w:tabs>
          <w:tab w:val="left" w:pos="3240"/>
        </w:tabs>
        <w:ind w:left="3240" w:hanging="360"/>
      </w:pPr>
      <w:rPr>
        <w:rFonts w:ascii="OpenSymbol" w:hAnsi="OpenSymbol" w:cs="OpenSymbol"/>
      </w:rPr>
    </w:lvl>
  </w:abstractNum>
  <w:abstractNum w:abstractNumId="3">
    <w:nsid w:val="48F64446"/>
    <w:multiLevelType w:val="multilevel"/>
    <w:tmpl w:val="48F64446"/>
    <w:lvl w:ilvl="0" w:tentative="0">
      <w:start w:val="1"/>
      <w:numFmt w:val="decimal"/>
      <w:pStyle w:val="14"/>
      <w:lvlText w:val="%1)"/>
      <w:lvlJc w:val="left"/>
      <w:pPr>
        <w:tabs>
          <w:tab w:val="left" w:pos="0"/>
        </w:tabs>
        <w:ind w:left="720" w:hanging="360"/>
      </w:pPr>
      <w:rPr>
        <w:rFonts w:hint="default"/>
        <w:b/>
        <w:bCs/>
        <w:i w:val="0"/>
        <w:color w:val="99CB38"/>
        <w:sz w:val="22"/>
      </w:rPr>
    </w:lvl>
    <w:lvl w:ilvl="1" w:tentative="0">
      <w:start w:val="1"/>
      <w:numFmt w:val="lowerLetter"/>
      <w:lvlText w:val="%2)"/>
      <w:lvlJc w:val="left"/>
      <w:pPr>
        <w:tabs>
          <w:tab w:val="left" w:pos="0"/>
        </w:tabs>
        <w:ind w:left="1440" w:hanging="360"/>
      </w:pPr>
      <w:rPr>
        <w:rFonts w:ascii="Arial" w:hAnsi="Arial" w:cs="Arial"/>
        <w:b/>
        <w:bCs/>
      </w:r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4">
    <w:nsid w:val="613E60F5"/>
    <w:multiLevelType w:val="multilevel"/>
    <w:tmpl w:val="613E60F5"/>
    <w:lvl w:ilvl="0" w:tentative="0">
      <w:start w:val="1"/>
      <w:numFmt w:val="decimal"/>
      <w:lvlText w:val="%1)"/>
      <w:lvlJc w:val="left"/>
      <w:pPr>
        <w:tabs>
          <w:tab w:val="left" w:pos="0"/>
        </w:tabs>
        <w:ind w:left="720" w:hanging="360"/>
      </w:pPr>
      <w:rPr>
        <w:rFonts w:hint="default"/>
        <w:b/>
        <w:bCs/>
        <w:i w:val="0"/>
        <w:color w:val="99CB38"/>
        <w:sz w:val="22"/>
      </w:rPr>
    </w:lvl>
    <w:lvl w:ilvl="1" w:tentative="0">
      <w:start w:val="1"/>
      <w:numFmt w:val="lowerLetter"/>
      <w:pStyle w:val="15"/>
      <w:lvlText w:val="%2)"/>
      <w:lvlJc w:val="left"/>
      <w:pPr>
        <w:tabs>
          <w:tab w:val="left" w:pos="0"/>
        </w:tabs>
        <w:ind w:left="1440" w:hanging="360"/>
      </w:pPr>
      <w:rPr>
        <w:rFonts w:ascii="Arial" w:hAnsi="Arial" w:cs="Arial"/>
        <w:b/>
        <w:bCs/>
      </w:r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73"/>
    <w:rsid w:val="00090459"/>
    <w:rsid w:val="0010676D"/>
    <w:rsid w:val="0015297D"/>
    <w:rsid w:val="001540B5"/>
    <w:rsid w:val="001875A9"/>
    <w:rsid w:val="001F71BB"/>
    <w:rsid w:val="002F5027"/>
    <w:rsid w:val="00340D07"/>
    <w:rsid w:val="003E55AA"/>
    <w:rsid w:val="00401895"/>
    <w:rsid w:val="00487873"/>
    <w:rsid w:val="00541CD6"/>
    <w:rsid w:val="006171CB"/>
    <w:rsid w:val="006A41C7"/>
    <w:rsid w:val="00717F04"/>
    <w:rsid w:val="007B4CE0"/>
    <w:rsid w:val="007E18D4"/>
    <w:rsid w:val="00822419"/>
    <w:rsid w:val="008B383B"/>
    <w:rsid w:val="008E362C"/>
    <w:rsid w:val="00A62BAF"/>
    <w:rsid w:val="00B75D0B"/>
    <w:rsid w:val="00C11E3A"/>
    <w:rsid w:val="00FF63A5"/>
    <w:rsid w:val="07BD061A"/>
    <w:rsid w:val="12EF12C8"/>
    <w:rsid w:val="40B617E2"/>
    <w:rsid w:val="55E179C3"/>
    <w:rsid w:val="5C30608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uppressAutoHyphens/>
    </w:pPr>
    <w:rPr>
      <w:rFonts w:ascii="Cambria" w:hAnsi="Cambria" w:eastAsia="MS Mincho" w:cs="Times New Roman"/>
      <w:sz w:val="24"/>
      <w:szCs w:val="24"/>
      <w:lang w:val="es-ES" w:eastAsia="zh-CN" w:bidi="ar-SA"/>
    </w:rPr>
  </w:style>
  <w:style w:type="paragraph" w:styleId="2">
    <w:name w:val="heading 1"/>
    <w:basedOn w:val="1"/>
    <w:next w:val="1"/>
    <w:link w:val="12"/>
    <w:qFormat/>
    <w:uiPriority w:val="9"/>
    <w:pPr>
      <w:widowControl w:val="0"/>
      <w:numPr>
        <w:ilvl w:val="0"/>
        <w:numId w:val="1"/>
      </w:numPr>
      <w:pBdr>
        <w:bottom w:val="single" w:color="A5A5A5" w:themeColor="background1" w:themeShade="A6" w:sz="8" w:space="1"/>
      </w:pBdr>
      <w:suppressAutoHyphens w:val="0"/>
      <w:autoSpaceDE w:val="0"/>
      <w:autoSpaceDN w:val="0"/>
      <w:spacing w:before="86"/>
      <w:ind w:left="426" w:hanging="426"/>
      <w:outlineLvl w:val="0"/>
    </w:pPr>
    <w:rPr>
      <w:rFonts w:eastAsia="Gill Sans Std" w:cs="Gill Sans Std" w:asciiTheme="minorHAnsi" w:hAnsiTheme="minorHAnsi"/>
      <w:b/>
      <w:bCs/>
      <w:color w:val="A6A6A6" w:themeColor="background1" w:themeShade="A6"/>
      <w:sz w:val="28"/>
      <w:szCs w:val="42"/>
      <w:lang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link w:val="11"/>
    <w:unhideWhenUsed/>
    <w:qFormat/>
    <w:uiPriority w:val="99"/>
    <w:pPr>
      <w:tabs>
        <w:tab w:val="center" w:pos="4252"/>
        <w:tab w:val="right" w:pos="8504"/>
      </w:tabs>
    </w:pPr>
  </w:style>
  <w:style w:type="paragraph" w:styleId="6">
    <w:name w:val="footer"/>
    <w:basedOn w:val="1"/>
    <w:link w:val="10"/>
    <w:uiPriority w:val="0"/>
    <w:pPr>
      <w:suppressLineNumbers/>
      <w:tabs>
        <w:tab w:val="center" w:pos="4252"/>
        <w:tab w:val="right" w:pos="8504"/>
      </w:tabs>
    </w:pPr>
  </w:style>
  <w:style w:type="paragraph" w:styleId="7">
    <w:name w:val="Body Text"/>
    <w:basedOn w:val="1"/>
    <w:link w:val="13"/>
    <w:qFormat/>
    <w:uiPriority w:val="1"/>
    <w:pPr>
      <w:widowControl w:val="0"/>
      <w:suppressAutoHyphens w:val="0"/>
      <w:autoSpaceDE w:val="0"/>
      <w:autoSpaceDN w:val="0"/>
    </w:pPr>
    <w:rPr>
      <w:rFonts w:ascii="Gill Sans Std" w:hAnsi="Gill Sans Std" w:eastAsia="Gill Sans Std" w:cs="Gill Sans Std"/>
      <w:sz w:val="22"/>
      <w:szCs w:val="22"/>
      <w:lang w:eastAsia="en-US"/>
    </w:rPr>
  </w:style>
  <w:style w:type="table" w:styleId="8">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link w:val="16"/>
    <w:qFormat/>
    <w:uiPriority w:val="0"/>
    <w:pPr>
      <w:ind w:left="720"/>
      <w:contextualSpacing/>
    </w:pPr>
  </w:style>
  <w:style w:type="character" w:customStyle="1" w:styleId="10">
    <w:name w:val="Pie de página Car"/>
    <w:basedOn w:val="3"/>
    <w:link w:val="6"/>
    <w:qFormat/>
    <w:uiPriority w:val="0"/>
    <w:rPr>
      <w:rFonts w:ascii="Cambria" w:hAnsi="Cambria" w:eastAsia="MS Mincho" w:cs="Times New Roman"/>
      <w:sz w:val="24"/>
      <w:szCs w:val="24"/>
      <w:lang w:eastAsia="zh-CN"/>
    </w:rPr>
  </w:style>
  <w:style w:type="character" w:customStyle="1" w:styleId="11">
    <w:name w:val="Encabezado Car"/>
    <w:basedOn w:val="3"/>
    <w:link w:val="5"/>
    <w:uiPriority w:val="99"/>
    <w:rPr>
      <w:rFonts w:ascii="Cambria" w:hAnsi="Cambria" w:eastAsia="MS Mincho" w:cs="Times New Roman"/>
      <w:sz w:val="24"/>
      <w:szCs w:val="24"/>
      <w:lang w:eastAsia="zh-CN"/>
    </w:rPr>
  </w:style>
  <w:style w:type="character" w:customStyle="1" w:styleId="12">
    <w:name w:val="Título 1 Car"/>
    <w:basedOn w:val="3"/>
    <w:link w:val="2"/>
    <w:uiPriority w:val="9"/>
    <w:rPr>
      <w:rFonts w:eastAsia="Gill Sans Std" w:cs="Gill Sans Std"/>
      <w:b/>
      <w:bCs/>
      <w:color w:val="A6A6A6" w:themeColor="background1" w:themeShade="A6"/>
      <w:sz w:val="28"/>
      <w:szCs w:val="42"/>
      <w:lang w:eastAsia="en-US"/>
    </w:rPr>
  </w:style>
  <w:style w:type="character" w:customStyle="1" w:styleId="13">
    <w:name w:val="Texto independiente Car"/>
    <w:basedOn w:val="3"/>
    <w:link w:val="7"/>
    <w:uiPriority w:val="1"/>
    <w:rPr>
      <w:rFonts w:ascii="Gill Sans Std" w:hAnsi="Gill Sans Std" w:eastAsia="Gill Sans Std" w:cs="Gill Sans Std"/>
      <w:sz w:val="22"/>
      <w:szCs w:val="22"/>
      <w:lang w:eastAsia="en-US"/>
    </w:rPr>
  </w:style>
  <w:style w:type="paragraph" w:customStyle="1" w:styleId="14">
    <w:name w:val="Viñeta-IV-1"/>
    <w:basedOn w:val="9"/>
    <w:link w:val="17"/>
    <w:qFormat/>
    <w:uiPriority w:val="0"/>
    <w:pPr>
      <w:numPr>
        <w:ilvl w:val="0"/>
        <w:numId w:val="2"/>
      </w:numPr>
      <w:spacing w:before="170" w:after="240" w:line="276" w:lineRule="auto"/>
      <w:ind w:left="714" w:hanging="357"/>
      <w:contextualSpacing w:val="0"/>
      <w:jc w:val="both"/>
    </w:pPr>
    <w:rPr>
      <w:rFonts w:cs="Arial" w:asciiTheme="minorHAnsi" w:hAnsiTheme="minorHAnsi"/>
      <w:sz w:val="22"/>
      <w:szCs w:val="22"/>
    </w:rPr>
  </w:style>
  <w:style w:type="paragraph" w:customStyle="1" w:styleId="15">
    <w:name w:val="Viñeta-IV-2"/>
    <w:basedOn w:val="9"/>
    <w:link w:val="19"/>
    <w:qFormat/>
    <w:uiPriority w:val="0"/>
    <w:pPr>
      <w:numPr>
        <w:ilvl w:val="1"/>
        <w:numId w:val="3"/>
      </w:numPr>
      <w:spacing w:before="170" w:after="170" w:line="276" w:lineRule="auto"/>
      <w:jc w:val="both"/>
    </w:pPr>
    <w:rPr>
      <w:rFonts w:cs="Arial" w:asciiTheme="minorHAnsi" w:hAnsiTheme="minorHAnsi"/>
      <w:sz w:val="22"/>
      <w:szCs w:val="22"/>
    </w:rPr>
  </w:style>
  <w:style w:type="character" w:customStyle="1" w:styleId="16">
    <w:name w:val="Párrafo de lista Car"/>
    <w:basedOn w:val="3"/>
    <w:link w:val="9"/>
    <w:uiPriority w:val="0"/>
    <w:rPr>
      <w:rFonts w:ascii="Cambria" w:hAnsi="Cambria" w:eastAsia="MS Mincho" w:cs="Times New Roman"/>
      <w:sz w:val="24"/>
      <w:szCs w:val="24"/>
      <w:lang w:eastAsia="zh-CN"/>
    </w:rPr>
  </w:style>
  <w:style w:type="character" w:customStyle="1" w:styleId="17">
    <w:name w:val="Viñeta-IV-1 Car"/>
    <w:basedOn w:val="16"/>
    <w:link w:val="14"/>
    <w:uiPriority w:val="0"/>
    <w:rPr>
      <w:rFonts w:ascii="Cambria" w:hAnsi="Cambria" w:eastAsia="MS Mincho" w:cs="Arial"/>
      <w:sz w:val="22"/>
      <w:szCs w:val="22"/>
      <w:lang w:eastAsia="zh-CN"/>
    </w:rPr>
  </w:style>
  <w:style w:type="paragraph" w:customStyle="1" w:styleId="18">
    <w:name w:val="SubituNum-IV"/>
    <w:basedOn w:val="1"/>
    <w:link w:val="21"/>
    <w:qFormat/>
    <w:uiPriority w:val="0"/>
    <w:pPr>
      <w:spacing w:before="170" w:after="170" w:line="276" w:lineRule="auto"/>
      <w:ind w:left="-76"/>
      <w:jc w:val="both"/>
    </w:pPr>
    <w:rPr>
      <w:rFonts w:cs="Arial" w:asciiTheme="minorHAnsi" w:hAnsiTheme="minorHAnsi"/>
      <w:b/>
      <w:color w:val="669900"/>
      <w:sz w:val="22"/>
      <w:szCs w:val="22"/>
    </w:rPr>
  </w:style>
  <w:style w:type="character" w:customStyle="1" w:styleId="19">
    <w:name w:val="Viñeta-IV-2 Car"/>
    <w:basedOn w:val="16"/>
    <w:link w:val="15"/>
    <w:uiPriority w:val="0"/>
    <w:rPr>
      <w:rFonts w:ascii="Cambria" w:hAnsi="Cambria" w:eastAsia="MS Mincho" w:cs="Arial"/>
      <w:sz w:val="22"/>
      <w:szCs w:val="22"/>
      <w:lang w:eastAsia="zh-CN"/>
    </w:rPr>
  </w:style>
  <w:style w:type="paragraph" w:customStyle="1" w:styleId="20">
    <w:name w:val="SangradoIV- punto"/>
    <w:basedOn w:val="9"/>
    <w:link w:val="22"/>
    <w:qFormat/>
    <w:uiPriority w:val="0"/>
    <w:pPr>
      <w:numPr>
        <w:ilvl w:val="1"/>
        <w:numId w:val="4"/>
      </w:numPr>
      <w:spacing w:before="170" w:after="170" w:line="276" w:lineRule="auto"/>
      <w:jc w:val="both"/>
    </w:pPr>
    <w:rPr>
      <w:rFonts w:cs="Arial" w:asciiTheme="minorHAnsi" w:hAnsiTheme="minorHAnsi" w:eastAsiaTheme="minorHAnsi"/>
      <w:b/>
      <w:bCs/>
      <w:color w:val="000000" w:themeColor="text1"/>
      <w:sz w:val="22"/>
      <w:szCs w:val="22"/>
      <w:lang w:eastAsia="en-US"/>
      <w14:textFill>
        <w14:solidFill>
          <w14:schemeClr w14:val="tx1"/>
        </w14:solidFill>
      </w14:textFill>
    </w:rPr>
  </w:style>
  <w:style w:type="character" w:customStyle="1" w:styleId="21">
    <w:name w:val="SubituNum-IV Car"/>
    <w:basedOn w:val="3"/>
    <w:link w:val="18"/>
    <w:uiPriority w:val="0"/>
    <w:rPr>
      <w:rFonts w:eastAsia="MS Mincho" w:cs="Arial"/>
      <w:b/>
      <w:color w:val="669900"/>
      <w:sz w:val="22"/>
      <w:szCs w:val="22"/>
      <w:lang w:eastAsia="zh-CN"/>
    </w:rPr>
  </w:style>
  <w:style w:type="character" w:customStyle="1" w:styleId="22">
    <w:name w:val="SangradoIV- punto Car"/>
    <w:basedOn w:val="16"/>
    <w:link w:val="20"/>
    <w:uiPriority w:val="0"/>
    <w:rPr>
      <w:rFonts w:ascii="Cambria" w:hAnsi="Cambria" w:eastAsia="MS Mincho" w:cs="Arial"/>
      <w:b/>
      <w:bCs/>
      <w:color w:val="000000" w:themeColor="text1"/>
      <w:sz w:val="22"/>
      <w:szCs w:val="22"/>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1225</Words>
  <Characters>6739</Characters>
  <Lines>56</Lines>
  <Paragraphs>15</Paragraphs>
  <TotalTime>10</TotalTime>
  <ScaleCrop>false</ScaleCrop>
  <LinksUpToDate>false</LinksUpToDate>
  <CharactersWithSpaces>7949</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2023-03-13T18:04:00Z</dcterms:created>
  <dc:creator>Enrique Ariza</dc:creator>
  <cp:lastModifiedBy>epena</cp:lastModifiedBy>
  <dcterms:modified xsi:type="dcterms:W3CDTF">2023-03-29T06:22:35Z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3082-11.2.0.11513</vt:lpwstr>
  </property>
  <property fmtid="{D5CDD505-2E9C-101B-9397-08002B2CF9AE}" pid="3" name="ICV">
    <vt:lpwstr>7EDDD7CEF0BE4A3C93FC95AD587700BF</vt:lpwstr>
  </property>
</Properties>
</file>